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CC99" w14:textId="531515AB" w:rsidR="004507C1" w:rsidRPr="004507C1" w:rsidRDefault="004507C1" w:rsidP="004507C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B1B1B"/>
          <w:spacing w:val="1"/>
          <w:sz w:val="40"/>
          <w:szCs w:val="40"/>
          <w:lang w:eastAsia="ru-RU"/>
        </w:rPr>
      </w:pPr>
      <w:r w:rsidRPr="004507C1">
        <w:rPr>
          <w:rFonts w:eastAsia="Times New Roman" w:cs="Times New Roman"/>
          <w:b/>
          <w:bCs/>
          <w:color w:val="1B1B1B"/>
          <w:spacing w:val="1"/>
          <w:sz w:val="40"/>
          <w:szCs w:val="40"/>
          <w:lang w:eastAsia="ru-RU"/>
        </w:rPr>
        <w:t>Порядок проведения работ на историко-культурных ценностях и в зонах их охраны</w:t>
      </w:r>
    </w:p>
    <w:p w14:paraId="2597A019" w14:textId="77777777" w:rsidR="004507C1" w:rsidRDefault="004507C1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</w:p>
    <w:p w14:paraId="16A8022E" w14:textId="504C9908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При осуществлении деятельности, которая может оказывать воздействие на материальные историко-культурные ценности,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изменение историко-культурных ценностей допускается только после получения разрешения 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на выполнение научно-исследовательских и проектных работ на материальных историко-культурных ценностях при условии научного обоснования этого изменения.</w:t>
      </w:r>
    </w:p>
    <w:p w14:paraId="46684FA4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При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осуществлении деятельности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на территории недвижимых материальных историко-культурных ценностей и в зонах их охраны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не должно допускаться ухудшение условий восприятия этих историко-культурных ценностей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включая создание препятствий для визуального восприятия их объемно-пространственных особенностей, элементов и деталей архитектурного декора.</w:t>
      </w:r>
    </w:p>
    <w:p w14:paraId="2AC41182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Капитальные строения (здания, сооружения), строящиеся на территории материальных историко-культурных ценностей и в зонах их охраны, а также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нестационарные объекты торговли и нестационарные объекты общественного питания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которые располагаются на этой территории и в этих зонах охраны,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не должны приводить к созданию застройки населенного пункта, несвойственной ее историческому характеру, а также создавать препятствия для визуального восприятия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этих неподвижных материальных историко-культурных ценностей.</w:t>
      </w:r>
    </w:p>
    <w:p w14:paraId="3EE07447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Средства наружной рекламы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размещаемые на недвижимых материальных историко-культурных ценностях, их территориях и в зонах их охраны,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не должны создавать помехи для визуального восприятия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объемно-пространственных особенностей, элементов и деталей архитектурного декора этих неподвижных материальных историко-культурных ценностей.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На памятниках архитектуры средства наружной рекламы должны размещаться отдельными буквами, знаками или другими изображениями.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Эскиз средства наружной рекламы, который планируется разместить на неподвижных материальных историко-культурных ценностях категории ”0“, ”1“, ”2“, без категории, на их территории и в зонах их охраны, в обязательном порядке должен согласовываться с Министерством культуры в соответствии с законодательством об административных процедурах.</w:t>
      </w:r>
    </w:p>
    <w:p w14:paraId="43D9AFA5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На историко-культурных ценностях выполняются следующие виды работ: научно-исследовательские, проектные, ремонтно-реставрационные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и другие работы в соответствии с Кодексом Республики Беларусь о культуре.</w:t>
      </w:r>
    </w:p>
    <w:p w14:paraId="11341D58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Научно-исследовательские работы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выполняются на материальных историко-культурных ценностях при разработке научно-проектной документации, к ним относятся: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археологические изыскания, архивно-библиографические исследования, натурные исследования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 (выполнение архитектурно-археологических обмеров, зондажей, инженерное исследование строительных конструкций, проведение химико-физических исследований свойств 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lastRenderedPageBreak/>
        <w:t>строительных материалов, отделки и прочее).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Материалы научно-исследовательских работ включаются в состав научно-проектной документации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.</w:t>
      </w:r>
    </w:p>
    <w:p w14:paraId="175668A0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Научно-исследовательские и проектные работы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на материальных историко-культурных ценностях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могут выполняться только после получения </w:t>
      </w:r>
      <w:hyperlink r:id="rId4" w:history="1"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разрешения на исполнение научно-исследовательских и проектных работ на материальных историко-культурных ценностях, выдаваемого Министерством культуры в соответствии с законодательством об административных процедурах</w:t>
        </w:r>
      </w:hyperlink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.</w:t>
      </w:r>
    </w:p>
    <w:p w14:paraId="68F889AE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К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ремонтно-реставрационным работам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выполняемым на материальных историко-культурных ценностях, относятся: восстановление, дополнение, консервация, приспособление, перемещение, ремонт, раскрытие, регенерация, реконструкция, реставрация (реставрационно-восстановительные работы). После подготовки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научно-проектной документации на выполнение ремонтно-реставрационных работ на материальных историко-культурных ценностях обязательно необходимо получить согласование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. </w:t>
      </w:r>
      <w:hyperlink r:id="rId5" w:history="1"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Процедура согласования с Министерством культуры осуществляется в порядке, установленном законодательством об административных процедурах</w:t>
        </w:r>
        <w:r w:rsidRPr="00622735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.</w:t>
        </w:r>
      </w:hyperlink>
    </w:p>
    <w:p w14:paraId="21C6C3F6" w14:textId="77777777" w:rsidR="00622735" w:rsidRPr="00622735" w:rsidRDefault="00622735" w:rsidP="00622735">
      <w:pPr>
        <w:shd w:val="clear" w:color="auto" w:fill="FFFFFF"/>
        <w:spacing w:before="180" w:after="18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Предварительному рассмотрению Научно-методической радой при Министерстве культуры (далее – Рада) подлежит научно-проектная документация на выполнение ремонтно-реставрационных работ на материальных историко-культурных ценностях категории ”0“, ”1“, ”2“. Научно-проектная документация на выполнение ремонтно-реставрационных работ на материальных историко-культурных ценностях категории ”0“, ”1“, ”2“, которая не одобрена Радой, согласованию не подлежит. Расходы, связанные с рассмотрением Радой научно-проектной документации на выполнение ремонтно-реставрационных работ </w:t>
      </w:r>
      <w:proofErr w:type="gramStart"/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на материальных историко-культурных ценностях</w:t>
      </w:r>
      <w:proofErr w:type="gramEnd"/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 компенсируются заказчиками этой научно-проектной документации. В процессе подготовки научно-проектной документации на выполнение ремонтно-реставрационных работ на материальных историко-культурных ценностях, а также при ее согласовании признается приоритет охраны историко-культурного наследия.</w:t>
      </w:r>
    </w:p>
    <w:p w14:paraId="61586F7C" w14:textId="5EF14401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Научно-проектная документация на выполнение ремонтно-реставрационных работ должна выполняться</w:t>
      </w:r>
      <w:r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 </w:t>
      </w:r>
      <w:hyperlink r:id="rId6" w:history="1"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под лицами, имеющих свидетельство на руководство разработкой научно-исследовательской и проектной документации на выполнение ремонтно-рестав</w:t>
        </w:r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р</w:t>
        </w:r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ационных работ на материальных историко-культурных ценностях.</w:t>
        </w:r>
      </w:hyperlink>
    </w:p>
    <w:p w14:paraId="18B9CDF4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Принятие в эксплуатацию недвижимой материальной историко-культурной ценности, на которой выполнялись ремонтно-реставрационные работы, осуществляется в соответствии с законодательством об архитектурной, градостроительной и строительной деятельности. В случаях и порядке, установленных законодательством об архитектурной, градостроительной и строительной деятельности, Министерство культуры в соответствии с законодательством об административных процедурах выдаёт юридическим 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lastRenderedPageBreak/>
        <w:t>лицам и индивидуальным предпринимателям </w:t>
      </w:r>
      <w:hyperlink r:id="rId7" w:history="1"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заключение о соответствии принимаемой в эксплуатацию недвижимой материальной историко-культурной ценности научно-проектной документации на выполнение ремонтно-реставрационных работ на материальных историко-культурных ценностях</w:t>
        </w:r>
        <w:r w:rsidRPr="00622735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.</w:t>
        </w:r>
      </w:hyperlink>
    </w:p>
    <w:p w14:paraId="2B1EBE51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В случае проведения на материальных историко-культурных ценностях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работ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(в том числе по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текущему ремонту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),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для которых не нужно разрабатывать проектную документацию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предполагаемые работы могут быть согласованы в рабочем порядке посредством направления в Министерство культуры на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согласование подготовленной программы работ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позволяющей сделать выводы о том, что материалы и методика проведения работ соответствует требованиям, применяемым в реставрации, а также не приведёт к повреждению или необоснованному изменению внешнего вида историко-культурной ценности.</w:t>
      </w:r>
    </w:p>
    <w:p w14:paraId="5577F780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Также в пределах зон охраны историко-культурных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ценностей могут проводиться те виды работ, которые соответствуют регламентам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 </w:t>
      </w:r>
      <w:r w:rsidRPr="00622735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установленным в утвержденных проектах зон охраны</w:t>
      </w:r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историко-культурных ценностей. Проекты зон охраны являются техническими нормативно-правовыми актами, а полный перечень утвержденных проектов зон охраны размещён </w:t>
      </w:r>
      <w:hyperlink r:id="rId8" w:anchor="!/tabs/TnpaKindList/type=12" w:history="1"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на специализированном электронном ресурсе</w:t>
        </w:r>
      </w:hyperlink>
      <w:r w:rsidRPr="00622735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.</w:t>
      </w:r>
    </w:p>
    <w:p w14:paraId="765ECDAD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9" w:history="1"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“О применении упрощённого порядка проведения работ“: Письмо Министерства культуры Республики Беларусь от 24.12.2020 г.</w:t>
        </w:r>
      </w:hyperlink>
    </w:p>
    <w:p w14:paraId="2E05606F" w14:textId="77777777" w:rsidR="00622735" w:rsidRPr="00622735" w:rsidRDefault="00622735" w:rsidP="00622735">
      <w:pPr>
        <w:spacing w:before="240" w:after="240"/>
        <w:jc w:val="both"/>
        <w:rPr>
          <w:rFonts w:ascii="PT Sans" w:eastAsia="Times New Roman" w:hAnsi="PT Sans" w:cs="Times New Roman"/>
          <w:spacing w:val="1"/>
          <w:sz w:val="26"/>
          <w:szCs w:val="26"/>
          <w:lang w:eastAsia="ru-RU"/>
        </w:rPr>
      </w:pPr>
      <w:r w:rsidRPr="00622735">
        <w:rPr>
          <w:rFonts w:eastAsia="Times New Roman" w:cs="Times New Roman"/>
          <w:sz w:val="24"/>
          <w:szCs w:val="24"/>
          <w:lang w:eastAsia="ru-RU"/>
        </w:rPr>
        <w:pict w14:anchorId="602F6E51">
          <v:rect id="_x0000_i1025" style="width:810pt;height:1.5pt" o:hrpct="0" o:hralign="center" o:hrstd="t" o:hr="t" fillcolor="#a0a0a0" stroked="f"/>
        </w:pict>
      </w:r>
    </w:p>
    <w:p w14:paraId="1F513C19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10" w:history="1">
        <w:proofErr w:type="gramStart"/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”О</w:t>
        </w:r>
        <w:proofErr w:type="gramEnd"/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 xml:space="preserve"> некоторых вопросах размещения средств наружной рекламы на недвижимых мате</w:t>
        </w:r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р</w:t>
        </w:r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иальных историко-культурных ценностях, их территориях и в зонах их охраны“: совместные разъяснения МАРТ и Министерства культуры от 4 декабря 2020 г.</w:t>
        </w:r>
      </w:hyperlink>
    </w:p>
    <w:p w14:paraId="0A7B4049" w14:textId="77777777" w:rsidR="00622735" w:rsidRPr="00622735" w:rsidRDefault="00622735" w:rsidP="00622735">
      <w:pPr>
        <w:shd w:val="clear" w:color="auto" w:fill="FFFFFF"/>
        <w:spacing w:after="0"/>
        <w:jc w:val="both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11" w:history="1"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Рекомендации по организации и размещению передвижных средств развозной и разносной тор</w:t>
        </w:r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г</w:t>
        </w:r>
        <w:r w:rsidRPr="00622735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овли, нестационарных объектов общественного питания, летних площадок (продолжение зала), прилегающих к зданиям и сооружениям, в помещениях которых располагается объект общественного питания.</w:t>
        </w:r>
      </w:hyperlink>
    </w:p>
    <w:p w14:paraId="5A3F0979" w14:textId="77777777" w:rsidR="00F12C76" w:rsidRDefault="00F12C76" w:rsidP="00622735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04"/>
    <w:rsid w:val="004507C1"/>
    <w:rsid w:val="005A2F04"/>
    <w:rsid w:val="00622735"/>
    <w:rsid w:val="006C0B77"/>
    <w:rsid w:val="008242FF"/>
    <w:rsid w:val="00870751"/>
    <w:rsid w:val="00922C48"/>
    <w:rsid w:val="009C369E"/>
    <w:rsid w:val="00B915B7"/>
    <w:rsid w:val="00E2005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610E"/>
  <w15:chartTrackingRefBased/>
  <w15:docId w15:val="{270BF46D-5ACE-415C-B6E6-8B04EB96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2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F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F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F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F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F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F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F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F0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A2F0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A2F0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A2F0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A2F0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A2F0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A2F0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A2F0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A2F0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A2F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2F0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A2F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2F0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A2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2F0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A2F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2F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2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2F0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A2F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pa.by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ultura.by/by/upraulenne-pa-ahove-gistoryka-kulturnaj-spadchyn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ultura.by/uploads/files/atestavanyja-2021-09-01.pdf" TargetMode="External"/><Relationship Id="rId11" Type="http://schemas.openxmlformats.org/officeDocument/2006/relationships/hyperlink" Target="https://vitebsk-region.gov.by/uploads/files/5.3-Rekomendatsii-Minkulta-po-razmescheniju-objektov-sezonnoj-torgovli.pdf" TargetMode="External"/><Relationship Id="rId5" Type="http://schemas.openxmlformats.org/officeDocument/2006/relationships/hyperlink" Target="https://kultura.by/by/upraulenne-pa-ahove-gistoryka-kulturnaj-spadchyny/" TargetMode="External"/><Relationship Id="rId10" Type="http://schemas.openxmlformats.org/officeDocument/2006/relationships/hyperlink" Target="https://vitebsk-region.gov.by/uploads/files/5.2-O-voprosax-rameschenija-naruzhnoj-reklamy-MART-i-MK.pdf" TargetMode="External"/><Relationship Id="rId4" Type="http://schemas.openxmlformats.org/officeDocument/2006/relationships/hyperlink" Target="https://kultura.by/by/upraulenne-pa-ahove-gistoryka-kulturnaj-spadchyny/" TargetMode="External"/><Relationship Id="rId9" Type="http://schemas.openxmlformats.org/officeDocument/2006/relationships/hyperlink" Target="https://vitebsk-region.gov.by/uploads/files/5.1-Pismo-MK-ob-uproschennom-porjadke-provedenija-rabo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1203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2026-07-14T06:57:00Z</dcterms:created>
  <dcterms:modified xsi:type="dcterms:W3CDTF">2026-07-14T06:59:00Z</dcterms:modified>
</cp:coreProperties>
</file>