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5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5529"/>
      </w:tblGrid>
      <w:tr w14:paraId="6872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513" w:type="dxa"/>
            <w:gridSpan w:val="2"/>
            <w:tcBorders>
              <w:tl2br w:val="nil"/>
              <w:tr2bl w:val="nil"/>
            </w:tcBorders>
            <w:shd w:val="clear" w:color="auto" w:fill="auto"/>
          </w:tcPr>
          <w:p w14:paraId="36E25BE5">
            <w:pPr>
              <w:rPr>
                <w:rFonts w:eastAsia="Times New Roman" w:cs="Times New Roman"/>
                <w:b/>
                <w:bCs/>
                <w:color w:val="000000"/>
                <w:sz w:val="26"/>
                <w:szCs w:val="26"/>
                <w:lang w:eastAsia="ru-RU"/>
              </w:rPr>
            </w:pPr>
            <w:bookmarkStart w:id="0" w:name="RANGE!A1:B25"/>
            <w:r>
              <w:rPr>
                <w:rFonts w:eastAsia="Times New Roman" w:cs="Times New Roman"/>
                <w:b/>
                <w:bCs/>
                <w:color w:val="000000"/>
                <w:sz w:val="26"/>
                <w:szCs w:val="26"/>
                <w:lang w:eastAsia="ru-RU"/>
              </w:rPr>
              <w:t>Гуманитарная заявка</w:t>
            </w:r>
            <w:bookmarkEnd w:id="0"/>
            <w:bookmarkStart w:id="1" w:name="_GoBack"/>
            <w:bookmarkEnd w:id="1"/>
          </w:p>
        </w:tc>
      </w:tr>
      <w:tr w14:paraId="2131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39F93613">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Название проекта</w:t>
            </w:r>
          </w:p>
        </w:tc>
        <w:tc>
          <w:tcPr>
            <w:tcW w:w="5529" w:type="dxa"/>
            <w:tcBorders>
              <w:tl2br w:val="nil"/>
              <w:tr2bl w:val="nil"/>
            </w:tcBorders>
            <w:shd w:val="clear" w:color="auto" w:fill="auto"/>
          </w:tcPr>
          <w:p w14:paraId="48D3304F">
            <w:pPr>
              <w:rPr>
                <w:rFonts w:eastAsia="Times New Roman" w:cs="Times New Roman"/>
                <w:color w:val="000000"/>
                <w:sz w:val="26"/>
                <w:szCs w:val="26"/>
                <w:lang w:eastAsia="ru-RU"/>
              </w:rPr>
            </w:pPr>
            <w:r>
              <w:rPr>
                <w:rFonts w:eastAsia="Times New Roman" w:cs="Times New Roman"/>
                <w:color w:val="000000"/>
                <w:sz w:val="26"/>
                <w:szCs w:val="26"/>
                <w:lang w:eastAsia="ru-RU"/>
              </w:rPr>
              <w:t>Модернизация передвижного палаточного лагеря туристско-краеведческого профиля с круглосуточным пребыванием детей «Муравьи»</w:t>
            </w:r>
          </w:p>
        </w:tc>
      </w:tr>
      <w:tr w14:paraId="62AA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06F2F6E0">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Продолжительность проекта, лет</w:t>
            </w:r>
          </w:p>
        </w:tc>
        <w:tc>
          <w:tcPr>
            <w:tcW w:w="5529" w:type="dxa"/>
            <w:tcBorders>
              <w:tl2br w:val="nil"/>
              <w:tr2bl w:val="nil"/>
            </w:tcBorders>
            <w:shd w:val="clear" w:color="auto" w:fill="auto"/>
          </w:tcPr>
          <w:p w14:paraId="5CCF5213">
            <w:pPr>
              <w:rPr>
                <w:rFonts w:eastAsia="Times New Roman" w:cs="Times New Roman"/>
                <w:color w:val="000000"/>
                <w:sz w:val="26"/>
                <w:szCs w:val="26"/>
                <w:lang w:eastAsia="ru-RU"/>
              </w:rPr>
            </w:pPr>
            <w:r>
              <w:rPr>
                <w:rFonts w:eastAsia="Times New Roman" w:cs="Times New Roman"/>
                <w:color w:val="000000"/>
                <w:sz w:val="26"/>
                <w:szCs w:val="26"/>
                <w:lang w:eastAsia="ru-RU"/>
              </w:rPr>
              <w:t>3</w:t>
            </w:r>
          </w:p>
        </w:tc>
      </w:tr>
      <w:tr w14:paraId="0C11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vAlign w:val="bottom"/>
          </w:tcPr>
          <w:p w14:paraId="085309FB">
            <w:pPr>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Организация-заявитель, предлагающая проект</w:t>
            </w:r>
          </w:p>
        </w:tc>
      </w:tr>
      <w:tr w14:paraId="65EE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7361D354">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УНП</w:t>
            </w:r>
          </w:p>
        </w:tc>
        <w:tc>
          <w:tcPr>
            <w:tcW w:w="5529" w:type="dxa"/>
            <w:tcBorders>
              <w:tl2br w:val="nil"/>
              <w:tr2bl w:val="nil"/>
            </w:tcBorders>
            <w:shd w:val="clear" w:color="auto" w:fill="auto"/>
          </w:tcPr>
          <w:p w14:paraId="7BB1A419">
            <w:pPr>
              <w:rPr>
                <w:rFonts w:eastAsia="Times New Roman" w:cs="Times New Roman"/>
                <w:color w:val="000000"/>
                <w:sz w:val="26"/>
                <w:szCs w:val="26"/>
                <w:lang w:eastAsia="ru-RU"/>
              </w:rPr>
            </w:pPr>
            <w:r>
              <w:rPr>
                <w:rFonts w:eastAsia="Times New Roman" w:cs="Times New Roman"/>
                <w:color w:val="000000"/>
                <w:sz w:val="26"/>
                <w:szCs w:val="26"/>
                <w:lang w:eastAsia="ru-RU"/>
              </w:rPr>
              <w:t>390296427</w:t>
            </w:r>
          </w:p>
        </w:tc>
      </w:tr>
      <w:tr w14:paraId="4283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21CBA706">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Название</w:t>
            </w:r>
          </w:p>
        </w:tc>
        <w:tc>
          <w:tcPr>
            <w:tcW w:w="5529" w:type="dxa"/>
            <w:tcBorders>
              <w:tl2br w:val="nil"/>
              <w:tr2bl w:val="nil"/>
            </w:tcBorders>
            <w:shd w:val="clear" w:color="auto" w:fill="auto"/>
          </w:tcPr>
          <w:p w14:paraId="29C2DEE5">
            <w:pPr>
              <w:rPr>
                <w:rFonts w:eastAsia="Times New Roman" w:cs="Times New Roman"/>
                <w:color w:val="000000"/>
                <w:sz w:val="26"/>
                <w:szCs w:val="26"/>
                <w:lang w:eastAsia="ru-RU"/>
              </w:rPr>
            </w:pPr>
            <w:r>
              <w:rPr>
                <w:rFonts w:eastAsia="Times New Roman" w:cs="Times New Roman"/>
                <w:color w:val="000000"/>
                <w:sz w:val="26"/>
                <w:szCs w:val="26"/>
                <w:lang w:eastAsia="ru-RU"/>
              </w:rPr>
              <w:t>Государственное учреждение дополнительного образования «Лепельский районный центр детей и молодёжи</w:t>
            </w:r>
          </w:p>
        </w:tc>
      </w:tr>
      <w:tr w14:paraId="0883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40456D24">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Адрес</w:t>
            </w:r>
          </w:p>
        </w:tc>
        <w:tc>
          <w:tcPr>
            <w:tcW w:w="5529" w:type="dxa"/>
            <w:tcBorders>
              <w:tl2br w:val="nil"/>
              <w:tr2bl w:val="nil"/>
            </w:tcBorders>
            <w:shd w:val="clear" w:color="auto" w:fill="auto"/>
          </w:tcPr>
          <w:p w14:paraId="49350317">
            <w:pPr>
              <w:rPr>
                <w:rFonts w:eastAsia="Times New Roman" w:cs="Times New Roman"/>
                <w:color w:val="000000"/>
                <w:sz w:val="26"/>
                <w:szCs w:val="26"/>
                <w:lang w:eastAsia="ru-RU"/>
              </w:rPr>
            </w:pPr>
            <w:r>
              <w:rPr>
                <w:rFonts w:eastAsia="Times New Roman" w:cs="Times New Roman"/>
                <w:color w:val="000000"/>
                <w:sz w:val="26"/>
                <w:szCs w:val="26"/>
                <w:lang w:eastAsia="ru-RU"/>
              </w:rPr>
              <w:t>211174, Республика Беларусь, Витебская область, г. Лепель, пл. Свободы, д. 5, корп.1</w:t>
            </w:r>
          </w:p>
        </w:tc>
      </w:tr>
      <w:tr w14:paraId="6309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7E347A1C">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Должность ответственного лица</w:t>
            </w:r>
          </w:p>
        </w:tc>
        <w:tc>
          <w:tcPr>
            <w:tcW w:w="5529" w:type="dxa"/>
            <w:tcBorders>
              <w:tl2br w:val="nil"/>
              <w:tr2bl w:val="nil"/>
            </w:tcBorders>
            <w:shd w:val="clear" w:color="auto" w:fill="auto"/>
          </w:tcPr>
          <w:p w14:paraId="28F3B359">
            <w:pPr>
              <w:rPr>
                <w:rFonts w:eastAsia="Times New Roman" w:cs="Times New Roman"/>
                <w:color w:val="000000"/>
                <w:sz w:val="26"/>
                <w:szCs w:val="26"/>
                <w:lang w:eastAsia="ru-RU"/>
              </w:rPr>
            </w:pPr>
            <w:r>
              <w:rPr>
                <w:rFonts w:eastAsia="Times New Roman" w:cs="Times New Roman"/>
                <w:color w:val="000000"/>
                <w:sz w:val="26"/>
                <w:szCs w:val="26"/>
                <w:lang w:eastAsia="ru-RU"/>
              </w:rPr>
              <w:t>директор</w:t>
            </w:r>
          </w:p>
        </w:tc>
      </w:tr>
      <w:tr w14:paraId="7DE6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5807D117">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ФИО ответственного лица</w:t>
            </w:r>
          </w:p>
        </w:tc>
        <w:tc>
          <w:tcPr>
            <w:tcW w:w="5529" w:type="dxa"/>
            <w:tcBorders>
              <w:tl2br w:val="nil"/>
              <w:tr2bl w:val="nil"/>
            </w:tcBorders>
            <w:shd w:val="clear" w:color="auto" w:fill="auto"/>
          </w:tcPr>
          <w:p w14:paraId="48DF2D68">
            <w:pPr>
              <w:rPr>
                <w:rFonts w:eastAsia="Times New Roman" w:cs="Times New Roman"/>
                <w:color w:val="000000"/>
                <w:sz w:val="26"/>
                <w:szCs w:val="26"/>
                <w:lang w:eastAsia="ru-RU"/>
              </w:rPr>
            </w:pPr>
            <w:r>
              <w:rPr>
                <w:rFonts w:eastAsia="Times New Roman" w:cs="Times New Roman"/>
                <w:color w:val="000000"/>
                <w:sz w:val="26"/>
                <w:szCs w:val="26"/>
                <w:lang w:eastAsia="ru-RU"/>
              </w:rPr>
              <w:t>Чуро Алла Петровна</w:t>
            </w:r>
          </w:p>
        </w:tc>
      </w:tr>
      <w:tr w14:paraId="4AC8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181D2024">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Контактные данные для связи</w:t>
            </w:r>
          </w:p>
        </w:tc>
        <w:tc>
          <w:tcPr>
            <w:tcW w:w="5529" w:type="dxa"/>
            <w:tcBorders>
              <w:tl2br w:val="nil"/>
              <w:tr2bl w:val="nil"/>
            </w:tcBorders>
            <w:shd w:val="clear" w:color="auto" w:fill="auto"/>
          </w:tcPr>
          <w:p w14:paraId="4FC5837E">
            <w:pPr>
              <w:rPr>
                <w:rFonts w:eastAsia="Times New Roman" w:cs="Times New Roman"/>
                <w:color w:val="000000"/>
                <w:sz w:val="26"/>
                <w:szCs w:val="26"/>
                <w:lang w:eastAsia="ru-RU"/>
              </w:rPr>
            </w:pPr>
            <w:r>
              <w:rPr>
                <w:rFonts w:eastAsia="Times New Roman" w:cs="Times New Roman"/>
                <w:color w:val="000000"/>
                <w:sz w:val="26"/>
                <w:szCs w:val="26"/>
                <w:lang w:eastAsia="ru-RU"/>
              </w:rPr>
              <w:t>cdim@roolepel.by, cdtlepel@gmail.com, +375336969334, +375213234938</w:t>
            </w:r>
          </w:p>
        </w:tc>
      </w:tr>
      <w:tr w14:paraId="2E05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612E86CE">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Целевая группа</w:t>
            </w:r>
          </w:p>
        </w:tc>
        <w:tc>
          <w:tcPr>
            <w:tcW w:w="5529" w:type="dxa"/>
            <w:tcBorders>
              <w:tl2br w:val="nil"/>
              <w:tr2bl w:val="nil"/>
            </w:tcBorders>
            <w:shd w:val="clear" w:color="auto" w:fill="auto"/>
          </w:tcPr>
          <w:p w14:paraId="5FB4D168">
            <w:pPr>
              <w:rPr>
                <w:rFonts w:eastAsia="Times New Roman" w:cs="Times New Roman"/>
                <w:color w:val="000000"/>
                <w:sz w:val="26"/>
                <w:szCs w:val="26"/>
                <w:lang w:eastAsia="ru-RU"/>
              </w:rPr>
            </w:pPr>
            <w:r>
              <w:rPr>
                <w:rFonts w:eastAsia="Times New Roman" w:cs="Times New Roman"/>
                <w:color w:val="000000"/>
                <w:sz w:val="26"/>
                <w:szCs w:val="26"/>
                <w:lang w:eastAsia="ru-RU"/>
              </w:rPr>
              <w:t>дети в возрасте 11-17 лет, нуждающиеся в оздоровлении (с 9 лет при условии ,что дети прошли специальную подготовку в объединениях по интересам туристско-краеведческого профиля)</w:t>
            </w:r>
          </w:p>
        </w:tc>
      </w:tr>
      <w:tr w14:paraId="64FE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175BEE3E">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Место реализации проекта</w:t>
            </w:r>
          </w:p>
        </w:tc>
        <w:tc>
          <w:tcPr>
            <w:tcW w:w="5529" w:type="dxa"/>
            <w:tcBorders>
              <w:tl2br w:val="nil"/>
              <w:tr2bl w:val="nil"/>
            </w:tcBorders>
            <w:shd w:val="clear" w:color="auto" w:fill="auto"/>
          </w:tcPr>
          <w:p w14:paraId="4E83AE42">
            <w:pPr>
              <w:rPr>
                <w:rFonts w:eastAsia="Times New Roman" w:cs="Times New Roman"/>
                <w:color w:val="000000"/>
                <w:sz w:val="26"/>
                <w:szCs w:val="26"/>
                <w:lang w:eastAsia="ru-RU"/>
              </w:rPr>
            </w:pPr>
            <w:r>
              <w:rPr>
                <w:rFonts w:eastAsia="Times New Roman" w:cs="Times New Roman"/>
                <w:color w:val="000000"/>
                <w:sz w:val="26"/>
                <w:szCs w:val="26"/>
                <w:lang w:eastAsia="ru-RU"/>
              </w:rPr>
              <w:t>г.Лепель, Лепельский район</w:t>
            </w:r>
          </w:p>
        </w:tc>
      </w:tr>
      <w:tr w14:paraId="4340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6818203E">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Обоснование проблемы с учетом исходной ситуации в регионе реализации проекта</w:t>
            </w:r>
          </w:p>
        </w:tc>
        <w:tc>
          <w:tcPr>
            <w:tcW w:w="5529" w:type="dxa"/>
            <w:tcBorders>
              <w:tl2br w:val="nil"/>
              <w:tr2bl w:val="nil"/>
            </w:tcBorders>
            <w:shd w:val="clear" w:color="auto" w:fill="auto"/>
          </w:tcPr>
          <w:p w14:paraId="14F08ADC">
            <w:pPr>
              <w:rPr>
                <w:rFonts w:eastAsia="Times New Roman" w:cs="Times New Roman"/>
                <w:color w:val="000000"/>
                <w:sz w:val="26"/>
                <w:szCs w:val="26"/>
                <w:lang w:eastAsia="ru-RU"/>
              </w:rPr>
            </w:pPr>
            <w:r>
              <w:rPr>
                <w:rFonts w:eastAsia="Times New Roman" w:cs="Times New Roman"/>
                <w:color w:val="000000"/>
                <w:sz w:val="26"/>
                <w:szCs w:val="26"/>
                <w:lang w:eastAsia="ru-RU"/>
              </w:rPr>
              <w:t>На протяжении ряда лет ГУДО «Лепельский районный центр детей и молодёжи» организует работу передвижного палаточного лагеря туристско-краеведческого профиля с круглосуточным пребыванием детей (далее – лагерь). Организация оздоровления  проходит на высоком уровне, работа лагеря вызывает большой интерес у детей и их законных представителей, лагерь позволяет обеспечить летнюю досуговую занятость детей старшего школьного возраста, но вместе с тем материальная база лагеря нуждается в модернизации и укреплении, начиная от снаряжения для занятий спортивным туризмом (средства страховки, жумары, пантины и др.) и заканчивая бытовым снаряжением (палатки, спальные мешки, туристская мебель и т.п.). На сегодняшний день в связи с ограниченностью материальной базы центр не может обеспечить охват оздоровление более 10 детей.</w:t>
            </w:r>
          </w:p>
        </w:tc>
      </w:tr>
      <w:tr w14:paraId="23F9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09FCD791">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Цель проекта</w:t>
            </w:r>
          </w:p>
        </w:tc>
        <w:tc>
          <w:tcPr>
            <w:tcW w:w="5529" w:type="dxa"/>
            <w:tcBorders>
              <w:tl2br w:val="nil"/>
              <w:tr2bl w:val="nil"/>
            </w:tcBorders>
            <w:shd w:val="clear" w:color="auto" w:fill="auto"/>
          </w:tcPr>
          <w:p w14:paraId="7A99D118">
            <w:pPr>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 активной и полезной досуговой занятости детей и подростков в летний период, создание условий для их полноценного отдыха, укрепления здоровья, всестороннего развития и самореализации средствами туристско-краеведческой и экскурсионной работы</w:t>
            </w:r>
          </w:p>
        </w:tc>
      </w:tr>
      <w:tr w14:paraId="7816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366FE60C">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Краткое содержание (суть) проекта</w:t>
            </w:r>
          </w:p>
        </w:tc>
        <w:tc>
          <w:tcPr>
            <w:tcW w:w="5529" w:type="dxa"/>
            <w:tcBorders>
              <w:tl2br w:val="nil"/>
              <w:tr2bl w:val="nil"/>
            </w:tcBorders>
            <w:shd w:val="clear" w:color="auto" w:fill="auto"/>
          </w:tcPr>
          <w:p w14:paraId="2D1B3DD9">
            <w:pPr>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 работы передвижного палаточного лагеря с круглосуточным пребыванием несовершеннолетних</w:t>
            </w:r>
          </w:p>
        </w:tc>
      </w:tr>
      <w:tr w14:paraId="2D03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tcPr>
          <w:p w14:paraId="32BEE63D">
            <w:pPr>
              <w:rPr>
                <w:rFonts w:eastAsia="Times New Roman" w:cs="Times New Roman"/>
                <w:color w:val="000000"/>
                <w:sz w:val="26"/>
                <w:szCs w:val="26"/>
                <w:lang w:eastAsia="ru-RU"/>
              </w:rPr>
            </w:pPr>
            <w:r>
              <w:rPr>
                <w:rFonts w:eastAsia="Times New Roman" w:cs="Times New Roman"/>
                <w:color w:val="000000"/>
                <w:sz w:val="26"/>
                <w:szCs w:val="26"/>
                <w:lang w:eastAsia="ru-RU"/>
              </w:rPr>
              <w:t>Финансирование проекта</w:t>
            </w:r>
          </w:p>
        </w:tc>
      </w:tr>
      <w:tr w14:paraId="138F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7FBEDD12">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Количество поступлений (план)</w:t>
            </w:r>
          </w:p>
        </w:tc>
        <w:tc>
          <w:tcPr>
            <w:tcW w:w="5529" w:type="dxa"/>
            <w:tcBorders>
              <w:tl2br w:val="nil"/>
              <w:tr2bl w:val="nil"/>
            </w:tcBorders>
            <w:shd w:val="clear" w:color="auto" w:fill="auto"/>
          </w:tcPr>
          <w:p w14:paraId="27D850F8">
            <w:pPr>
              <w:rPr>
                <w:rFonts w:eastAsia="Times New Roman" w:cs="Times New Roman"/>
                <w:color w:val="000000"/>
                <w:sz w:val="26"/>
                <w:szCs w:val="26"/>
                <w:lang w:eastAsia="ru-RU"/>
              </w:rPr>
            </w:pPr>
            <w:r>
              <w:rPr>
                <w:rFonts w:eastAsia="Times New Roman" w:cs="Times New Roman"/>
                <w:color w:val="000000"/>
                <w:sz w:val="26"/>
                <w:szCs w:val="26"/>
                <w:lang w:eastAsia="ru-RU"/>
              </w:rPr>
              <w:t>3</w:t>
            </w:r>
          </w:p>
        </w:tc>
      </w:tr>
      <w:tr w14:paraId="0D0D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6476824E">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Валюта</w:t>
            </w:r>
          </w:p>
        </w:tc>
        <w:tc>
          <w:tcPr>
            <w:tcW w:w="5529" w:type="dxa"/>
            <w:tcBorders>
              <w:tl2br w:val="nil"/>
              <w:tr2bl w:val="nil"/>
            </w:tcBorders>
            <w:shd w:val="clear" w:color="auto" w:fill="auto"/>
          </w:tcPr>
          <w:p w14:paraId="18F5438E">
            <w:pPr>
              <w:rPr>
                <w:rFonts w:eastAsia="Times New Roman" w:cs="Times New Roman"/>
                <w:color w:val="000000"/>
                <w:sz w:val="26"/>
                <w:szCs w:val="26"/>
                <w:lang w:eastAsia="ru-RU"/>
              </w:rPr>
            </w:pPr>
            <w:r>
              <w:rPr>
                <w:rFonts w:eastAsia="Times New Roman" w:cs="Times New Roman"/>
                <w:color w:val="000000"/>
                <w:sz w:val="26"/>
                <w:szCs w:val="26"/>
                <w:lang w:eastAsia="ru-RU"/>
              </w:rPr>
              <w:t>BYN</w:t>
            </w:r>
          </w:p>
        </w:tc>
      </w:tr>
      <w:tr w14:paraId="2296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45833FAC">
            <w:pPr>
              <w:ind w:firstLine="520" w:firstLineChars="200"/>
              <w:rPr>
                <w:rFonts w:eastAsia="Times New Roman" w:cs="Times New Roman"/>
                <w:color w:val="000000"/>
                <w:sz w:val="26"/>
                <w:szCs w:val="26"/>
                <w:lang w:eastAsia="ru-RU"/>
              </w:rPr>
            </w:pPr>
            <w:r>
              <w:rPr>
                <w:rFonts w:eastAsia="Times New Roman" w:cs="Times New Roman"/>
                <w:color w:val="000000"/>
                <w:sz w:val="26"/>
                <w:szCs w:val="26"/>
                <w:lang w:eastAsia="ru-RU"/>
              </w:rPr>
              <w:t>Общая стоимость проекта</w:t>
            </w:r>
          </w:p>
        </w:tc>
        <w:tc>
          <w:tcPr>
            <w:tcW w:w="5529" w:type="dxa"/>
            <w:tcBorders>
              <w:tl2br w:val="nil"/>
              <w:tr2bl w:val="nil"/>
            </w:tcBorders>
            <w:shd w:val="clear" w:color="auto" w:fill="auto"/>
          </w:tcPr>
          <w:p w14:paraId="256F9912">
            <w:pPr>
              <w:rPr>
                <w:rFonts w:eastAsia="Times New Roman" w:cs="Times New Roman"/>
                <w:color w:val="000000"/>
                <w:sz w:val="26"/>
                <w:szCs w:val="26"/>
                <w:lang w:eastAsia="ru-RU"/>
              </w:rPr>
            </w:pPr>
            <w:r>
              <w:rPr>
                <w:rFonts w:eastAsia="Times New Roman" w:cs="Times New Roman"/>
                <w:color w:val="000000"/>
                <w:sz w:val="26"/>
                <w:szCs w:val="26"/>
                <w:lang w:eastAsia="ru-RU"/>
              </w:rPr>
              <w:t>35000,00</w:t>
            </w:r>
          </w:p>
        </w:tc>
      </w:tr>
      <w:tr w14:paraId="6C4E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6337FD18">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Средства донора</w:t>
            </w:r>
          </w:p>
        </w:tc>
        <w:tc>
          <w:tcPr>
            <w:tcW w:w="5529" w:type="dxa"/>
            <w:tcBorders>
              <w:tl2br w:val="nil"/>
              <w:tr2bl w:val="nil"/>
            </w:tcBorders>
            <w:shd w:val="clear" w:color="auto" w:fill="auto"/>
          </w:tcPr>
          <w:p w14:paraId="44036F5F">
            <w:pPr>
              <w:rPr>
                <w:rFonts w:eastAsia="Times New Roman" w:cs="Times New Roman"/>
                <w:color w:val="000000"/>
                <w:sz w:val="26"/>
                <w:szCs w:val="26"/>
                <w:lang w:eastAsia="ru-RU"/>
              </w:rPr>
            </w:pPr>
            <w:r>
              <w:rPr>
                <w:rFonts w:eastAsia="Times New Roman" w:cs="Times New Roman"/>
                <w:color w:val="000000"/>
                <w:sz w:val="26"/>
                <w:szCs w:val="26"/>
                <w:lang w:eastAsia="ru-RU"/>
              </w:rPr>
              <w:t>33000,00</w:t>
            </w:r>
          </w:p>
        </w:tc>
      </w:tr>
      <w:tr w14:paraId="0209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0ED17862">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Софинансирование</w:t>
            </w:r>
          </w:p>
        </w:tc>
        <w:tc>
          <w:tcPr>
            <w:tcW w:w="5529" w:type="dxa"/>
            <w:tcBorders>
              <w:tl2br w:val="nil"/>
              <w:tr2bl w:val="nil"/>
            </w:tcBorders>
            <w:shd w:val="clear" w:color="auto" w:fill="auto"/>
          </w:tcPr>
          <w:p w14:paraId="0862EC86">
            <w:pPr>
              <w:rPr>
                <w:rFonts w:eastAsia="Times New Roman" w:cs="Times New Roman"/>
                <w:color w:val="000000"/>
                <w:sz w:val="26"/>
                <w:szCs w:val="26"/>
                <w:lang w:eastAsia="ru-RU"/>
              </w:rPr>
            </w:pPr>
            <w:r>
              <w:rPr>
                <w:rFonts w:eastAsia="Times New Roman" w:cs="Times New Roman"/>
                <w:color w:val="000000"/>
                <w:sz w:val="26"/>
                <w:szCs w:val="26"/>
                <w:lang w:eastAsia="ru-RU"/>
              </w:rPr>
              <w:t>2000,00</w:t>
            </w:r>
          </w:p>
        </w:tc>
      </w:tr>
      <w:tr w14:paraId="31EB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84" w:type="dxa"/>
            <w:tcBorders>
              <w:tl2br w:val="nil"/>
              <w:tr2bl w:val="nil"/>
            </w:tcBorders>
            <w:shd w:val="clear" w:color="auto" w:fill="auto"/>
          </w:tcPr>
          <w:p w14:paraId="438F71FD">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Дальнейшая деятельность по окончании проекта</w:t>
            </w:r>
          </w:p>
        </w:tc>
        <w:tc>
          <w:tcPr>
            <w:tcW w:w="5529" w:type="dxa"/>
            <w:tcBorders>
              <w:tl2br w:val="nil"/>
              <w:tr2bl w:val="nil"/>
            </w:tcBorders>
            <w:shd w:val="clear" w:color="auto" w:fill="auto"/>
          </w:tcPr>
          <w:p w14:paraId="0BD54CC6">
            <w:pPr>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 оздоровления детей, нуждающихся в оздоровлении, на более высоком организационном уровне, обеспечение большего охвата детей</w:t>
            </w:r>
          </w:p>
        </w:tc>
      </w:tr>
      <w:tr w14:paraId="7D76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4AEC673E">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Задачи, планируемые к выполнению в рамках реализации проекта:</w:t>
            </w:r>
          </w:p>
        </w:tc>
      </w:tr>
      <w:tr w14:paraId="5088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71D19BE5">
            <w:pPr>
              <w:rPr>
                <w:rFonts w:eastAsia="Times New Roman" w:cs="Times New Roman"/>
                <w:color w:val="000000"/>
                <w:sz w:val="26"/>
                <w:szCs w:val="26"/>
                <w:lang w:eastAsia="ru-RU"/>
              </w:rPr>
            </w:pPr>
            <w:r>
              <w:rPr>
                <w:rFonts w:eastAsia="Times New Roman" w:cs="Times New Roman"/>
                <w:color w:val="000000"/>
                <w:sz w:val="26"/>
                <w:szCs w:val="26"/>
                <w:lang w:eastAsia="ru-RU"/>
              </w:rPr>
              <w:t>модернизация и укрепление материально-технической базы передвижного палаточного лагеря туристско-краеведческого профиля с круглосуточным пребыванием детей «Муравьи» (далее – лагерь) за счет приобретения оборудования для оснащения палаточного лагеря с учетом потребностей</w:t>
            </w:r>
          </w:p>
        </w:tc>
      </w:tr>
      <w:tr w14:paraId="67E8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6488440B">
            <w:pPr>
              <w:rPr>
                <w:rFonts w:eastAsia="Times New Roman" w:cs="Times New Roman"/>
                <w:color w:val="000000"/>
                <w:sz w:val="26"/>
                <w:szCs w:val="26"/>
                <w:lang w:eastAsia="ru-RU"/>
              </w:rPr>
            </w:pPr>
            <w:r>
              <w:rPr>
                <w:rFonts w:eastAsia="Times New Roman" w:cs="Times New Roman"/>
                <w:color w:val="000000"/>
                <w:sz w:val="26"/>
                <w:szCs w:val="26"/>
                <w:lang w:eastAsia="ru-RU"/>
              </w:rPr>
              <w:t>обеспечение безопасного пребывания воспитанников лагеря и качественное их оздоровление</w:t>
            </w:r>
          </w:p>
        </w:tc>
      </w:tr>
      <w:tr w14:paraId="4BD1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0E326AA2">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убеждения в престижности здорового поведения и потребность в здоровом образе жизни</w:t>
            </w:r>
          </w:p>
        </w:tc>
      </w:tr>
      <w:tr w14:paraId="1308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5CE2687A">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и совершенствование спортивно-туристских умений и навыков</w:t>
            </w:r>
          </w:p>
        </w:tc>
      </w:tr>
      <w:tr w14:paraId="5F36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045F6B5F">
            <w:pPr>
              <w:rPr>
                <w:rFonts w:eastAsia="Times New Roman" w:cs="Times New Roman"/>
                <w:color w:val="000000"/>
                <w:sz w:val="26"/>
                <w:szCs w:val="26"/>
                <w:lang w:eastAsia="ru-RU"/>
              </w:rPr>
            </w:pPr>
            <w:r>
              <w:rPr>
                <w:rFonts w:eastAsia="Times New Roman" w:cs="Times New Roman"/>
                <w:color w:val="000000"/>
                <w:sz w:val="26"/>
                <w:szCs w:val="26"/>
                <w:lang w:eastAsia="ru-RU"/>
              </w:rPr>
              <w:t>создание условий для самореализации, развития творческих способностей, формирования у детей позитивных жизненных навыков в неформальной обстановке</w:t>
            </w:r>
          </w:p>
        </w:tc>
      </w:tr>
      <w:tr w14:paraId="3A8B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1BD57D04">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гражданского и национального самосознания детей и подростков через приобщение их к изучению родного края, его национальных традиций, культурного и исторического наследия, включение в социально значимую деятельность</w:t>
            </w:r>
          </w:p>
        </w:tc>
      </w:tr>
      <w:tr w14:paraId="4A43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33E2ACC1">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ответственного отношения к соблюдению правил безопасного поведения в лагере (а также походах, экскурсиях и др.), повышение культуры поведения в общественных местах</w:t>
            </w:r>
          </w:p>
        </w:tc>
      </w:tr>
      <w:tr w14:paraId="2DD3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0B4AC71B">
            <w:pPr>
              <w:rPr>
                <w:rFonts w:eastAsia="Times New Roman" w:cs="Times New Roman"/>
                <w:color w:val="000000"/>
                <w:sz w:val="26"/>
                <w:szCs w:val="26"/>
                <w:lang w:eastAsia="ru-RU"/>
              </w:rPr>
            </w:pPr>
            <w:r>
              <w:rPr>
                <w:rFonts w:eastAsia="Times New Roman" w:cs="Times New Roman"/>
                <w:color w:val="000000"/>
                <w:sz w:val="26"/>
                <w:szCs w:val="26"/>
                <w:lang w:eastAsia="ru-RU"/>
              </w:rPr>
              <w:t>обучать детей и подростков успешно справляться с бытовыми задачами, возникающими в процессе повседневной жизнедеятельности</w:t>
            </w:r>
          </w:p>
        </w:tc>
      </w:tr>
      <w:tr w14:paraId="6214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0FA025CF">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ценностного отношения к материальному окружению, бережного отношения к ресурсам, влияющим на качество жизни человека</w:t>
            </w:r>
          </w:p>
        </w:tc>
      </w:tr>
      <w:tr w14:paraId="6DA7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65B1526D">
            <w:pPr>
              <w:rPr>
                <w:rFonts w:eastAsia="Times New Roman" w:cs="Times New Roman"/>
                <w:color w:val="000000"/>
                <w:sz w:val="26"/>
                <w:szCs w:val="26"/>
                <w:lang w:eastAsia="ru-RU"/>
              </w:rPr>
            </w:pPr>
            <w:r>
              <w:rPr>
                <w:rFonts w:eastAsia="Times New Roman" w:cs="Times New Roman"/>
                <w:color w:val="000000"/>
                <w:sz w:val="26"/>
                <w:szCs w:val="26"/>
                <w:lang w:eastAsia="ru-RU"/>
              </w:rPr>
              <w:t>формирование ответственного, бережного отношения к окружающей природе</w:t>
            </w:r>
          </w:p>
        </w:tc>
      </w:tr>
      <w:tr w14:paraId="69BC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4170E1B0">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Краткое описание мероприятий в рамках проекта:</w:t>
            </w:r>
          </w:p>
        </w:tc>
      </w:tr>
      <w:tr w14:paraId="40FB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22CA344E">
            <w:pPr>
              <w:rPr>
                <w:rFonts w:eastAsia="Times New Roman" w:cs="Times New Roman"/>
                <w:color w:val="000000"/>
                <w:sz w:val="26"/>
                <w:szCs w:val="26"/>
                <w:lang w:eastAsia="ru-RU"/>
              </w:rPr>
            </w:pPr>
            <w:r>
              <w:rPr>
                <w:rFonts w:eastAsia="Times New Roman" w:cs="Times New Roman"/>
                <w:color w:val="000000"/>
                <w:sz w:val="26"/>
                <w:szCs w:val="26"/>
                <w:lang w:eastAsia="ru-RU"/>
              </w:rPr>
              <w:t>Проект представляет собой комплекс мероприятий по организации активной и полезной досуговой занятости детей и подростков в летний период, созданию условий для их полноценного отдыха, укреплению здоровья, всестороннего развития и самореализации средствами туристско-краеведческой и экскурсионной работы:</w:t>
            </w:r>
          </w:p>
        </w:tc>
      </w:tr>
      <w:tr w14:paraId="4F96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35045D5F">
            <w:pPr>
              <w:rPr>
                <w:rFonts w:eastAsia="Times New Roman" w:cs="Times New Roman"/>
                <w:color w:val="000000"/>
                <w:sz w:val="26"/>
                <w:szCs w:val="26"/>
                <w:lang w:eastAsia="ru-RU"/>
              </w:rPr>
            </w:pPr>
            <w:r>
              <w:rPr>
                <w:rFonts w:eastAsia="Times New Roman" w:cs="Times New Roman"/>
                <w:color w:val="000000"/>
                <w:sz w:val="26"/>
                <w:szCs w:val="26"/>
                <w:lang w:eastAsia="ru-RU"/>
              </w:rPr>
              <w:t>подготовка и утверждение сметной документации</w:t>
            </w:r>
          </w:p>
        </w:tc>
      </w:tr>
      <w:tr w14:paraId="484C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46809238">
            <w:pPr>
              <w:rPr>
                <w:rFonts w:eastAsia="Times New Roman" w:cs="Times New Roman"/>
                <w:color w:val="000000"/>
                <w:sz w:val="26"/>
                <w:szCs w:val="26"/>
                <w:lang w:eastAsia="ru-RU"/>
              </w:rPr>
            </w:pPr>
            <w:r>
              <w:rPr>
                <w:rFonts w:eastAsia="Times New Roman" w:cs="Times New Roman"/>
                <w:color w:val="000000"/>
                <w:sz w:val="26"/>
                <w:szCs w:val="26"/>
                <w:lang w:eastAsia="ru-RU"/>
              </w:rPr>
              <w:t>приобретение снаряжения для занятий спортивным туризмом, бытового туристского снаряжения</w:t>
            </w:r>
          </w:p>
        </w:tc>
      </w:tr>
      <w:tr w14:paraId="7A5C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0BA252D4">
            <w:pPr>
              <w:rPr>
                <w:rFonts w:eastAsia="Times New Roman" w:cs="Times New Roman"/>
                <w:color w:val="000000"/>
                <w:sz w:val="26"/>
                <w:szCs w:val="26"/>
                <w:lang w:eastAsia="ru-RU"/>
              </w:rPr>
            </w:pPr>
            <w:r>
              <w:rPr>
                <w:rFonts w:eastAsia="Times New Roman" w:cs="Times New Roman"/>
                <w:color w:val="000000"/>
                <w:sz w:val="26"/>
                <w:szCs w:val="26"/>
                <w:lang w:eastAsia="ru-RU"/>
              </w:rPr>
              <w:t>организация летнего оздоровления детей, нуждающихся в оздоровлении, в условиях передвижного палаточного лагеря туристско-краеведческого профиля с круглосуточным пребыванием детей «Муравьи»</w:t>
            </w:r>
          </w:p>
        </w:tc>
      </w:tr>
      <w:tr w14:paraId="310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4A16833B">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Ожидаемые результаты:</w:t>
            </w:r>
          </w:p>
        </w:tc>
      </w:tr>
      <w:tr w14:paraId="44D3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55D0BAF2">
            <w:pPr>
              <w:rPr>
                <w:rFonts w:eastAsia="Times New Roman" w:cs="Times New Roman"/>
                <w:color w:val="000000"/>
                <w:sz w:val="26"/>
                <w:szCs w:val="26"/>
                <w:lang w:eastAsia="ru-RU"/>
              </w:rPr>
            </w:pPr>
            <w:r>
              <w:rPr>
                <w:rFonts w:eastAsia="Times New Roman" w:cs="Times New Roman"/>
                <w:color w:val="000000"/>
                <w:sz w:val="26"/>
                <w:szCs w:val="26"/>
                <w:lang w:eastAsia="ru-RU"/>
              </w:rPr>
              <w:t>повышение качества оздоровления детей через создание безопасных условий пребывания в лагере</w:t>
            </w:r>
          </w:p>
        </w:tc>
      </w:tr>
      <w:tr w14:paraId="48FA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13" w:type="dxa"/>
            <w:gridSpan w:val="2"/>
            <w:tcBorders>
              <w:tl2br w:val="nil"/>
              <w:tr2bl w:val="nil"/>
            </w:tcBorders>
            <w:shd w:val="clear" w:color="auto" w:fill="auto"/>
            <w:noWrap/>
            <w:vAlign w:val="bottom"/>
          </w:tcPr>
          <w:p w14:paraId="1922C6A3">
            <w:pPr>
              <w:rPr>
                <w:rFonts w:eastAsia="Times New Roman" w:cs="Times New Roman"/>
                <w:color w:val="000000"/>
                <w:sz w:val="26"/>
                <w:szCs w:val="26"/>
                <w:lang w:eastAsia="ru-RU"/>
              </w:rPr>
            </w:pPr>
            <w:r>
              <w:rPr>
                <w:rFonts w:eastAsia="Times New Roman" w:cs="Times New Roman"/>
                <w:color w:val="000000"/>
                <w:sz w:val="26"/>
                <w:szCs w:val="26"/>
                <w:lang w:eastAsia="ru-RU"/>
              </w:rPr>
              <w:t>увеличение охвата детей летним оздоровлением</w:t>
            </w:r>
          </w:p>
        </w:tc>
      </w:tr>
    </w:tbl>
    <w:p w14:paraId="78D3406F">
      <w:pPr>
        <w:rPr>
          <w:sz w:val="26"/>
          <w:szCs w:val="26"/>
        </w:rPr>
      </w:pPr>
    </w:p>
    <w:p w14:paraId="15360743">
      <w:pPr>
        <w:rPr>
          <w:sz w:val="26"/>
          <w:szCs w:val="26"/>
        </w:rPr>
      </w:pPr>
      <w:r>
        <w:rPr>
          <w:sz w:val="26"/>
          <w:szCs w:val="26"/>
        </w:rPr>
        <w:br w:type="page"/>
      </w:r>
    </w:p>
    <w:tbl>
      <w:tblPr>
        <w:tblStyle w:val="3"/>
        <w:tblW w:w="92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1"/>
        <w:gridCol w:w="5528"/>
      </w:tblGrid>
      <w:tr w14:paraId="442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tcPr>
          <w:p w14:paraId="28894F89">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Humanitarian project application</w:t>
            </w:r>
          </w:p>
        </w:tc>
      </w:tr>
      <w:tr w14:paraId="38FF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1CB88D8D">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The project title</w:t>
            </w:r>
          </w:p>
        </w:tc>
        <w:tc>
          <w:tcPr>
            <w:tcW w:w="5528" w:type="dxa"/>
            <w:tcBorders>
              <w:tl2br w:val="nil"/>
              <w:tr2bl w:val="nil"/>
            </w:tcBorders>
            <w:shd w:val="clear" w:color="auto" w:fill="auto"/>
          </w:tcPr>
          <w:p w14:paraId="0F805B87">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Modernization of the  mobile tent camp of the tourist and local history profile with round-the-clock stay of children "Ants"</w:t>
            </w:r>
          </w:p>
        </w:tc>
      </w:tr>
      <w:tr w14:paraId="7401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1593E49C">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The Project duration, years</w:t>
            </w:r>
          </w:p>
        </w:tc>
        <w:tc>
          <w:tcPr>
            <w:tcW w:w="5528" w:type="dxa"/>
            <w:tcBorders>
              <w:tl2br w:val="nil"/>
              <w:tr2bl w:val="nil"/>
            </w:tcBorders>
            <w:shd w:val="clear" w:color="auto" w:fill="auto"/>
          </w:tcPr>
          <w:p w14:paraId="4128D4FF">
            <w:pPr>
              <w:rPr>
                <w:rFonts w:eastAsia="Times New Roman" w:cs="Times New Roman"/>
                <w:color w:val="000000"/>
                <w:sz w:val="26"/>
                <w:szCs w:val="26"/>
                <w:lang w:eastAsia="ru-RU"/>
              </w:rPr>
            </w:pPr>
            <w:r>
              <w:rPr>
                <w:rFonts w:eastAsia="Times New Roman" w:cs="Times New Roman"/>
                <w:color w:val="000000"/>
                <w:sz w:val="26"/>
                <w:szCs w:val="26"/>
                <w:lang w:eastAsia="ru-RU"/>
              </w:rPr>
              <w:t>3</w:t>
            </w:r>
          </w:p>
        </w:tc>
      </w:tr>
      <w:tr w14:paraId="7E21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vAlign w:val="bottom"/>
          </w:tcPr>
          <w:p w14:paraId="3B3651A8">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Applicant organisation proposing the project</w:t>
            </w:r>
          </w:p>
        </w:tc>
      </w:tr>
      <w:tr w14:paraId="3709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03E5A919">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Organisation name</w:t>
            </w:r>
          </w:p>
        </w:tc>
        <w:tc>
          <w:tcPr>
            <w:tcW w:w="5528" w:type="dxa"/>
            <w:tcBorders>
              <w:tl2br w:val="nil"/>
              <w:tr2bl w:val="nil"/>
            </w:tcBorders>
            <w:shd w:val="clear" w:color="auto" w:fill="auto"/>
          </w:tcPr>
          <w:p w14:paraId="2DDAED9B">
            <w:pPr>
              <w:rPr>
                <w:rFonts w:eastAsia="Times New Roman" w:cs="Times New Roman"/>
                <w:color w:val="000000"/>
                <w:sz w:val="26"/>
                <w:szCs w:val="26"/>
                <w:lang w:eastAsia="ru-RU"/>
              </w:rPr>
            </w:pPr>
            <w:r>
              <w:rPr>
                <w:rFonts w:eastAsia="Times New Roman" w:cs="Times New Roman"/>
                <w:color w:val="000000"/>
                <w:sz w:val="26"/>
                <w:szCs w:val="26"/>
                <w:lang w:eastAsia="ru-RU"/>
              </w:rPr>
              <w:t>390296427</w:t>
            </w:r>
          </w:p>
        </w:tc>
      </w:tr>
      <w:tr w14:paraId="456B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5F231671">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Address</w:t>
            </w:r>
          </w:p>
        </w:tc>
        <w:tc>
          <w:tcPr>
            <w:tcW w:w="5528" w:type="dxa"/>
            <w:tcBorders>
              <w:tl2br w:val="nil"/>
              <w:tr2bl w:val="nil"/>
            </w:tcBorders>
            <w:shd w:val="clear" w:color="auto" w:fill="auto"/>
          </w:tcPr>
          <w:p w14:paraId="4A1ED2C2">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State Institution of Additional Education "Lepelsky District Center for Children and Youth"</w:t>
            </w:r>
          </w:p>
        </w:tc>
      </w:tr>
      <w:tr w14:paraId="778D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76493729">
            <w:pPr>
              <w:ind w:firstLine="520" w:firstLineChars="200"/>
              <w:rPr>
                <w:rFonts w:eastAsia="Times New Roman" w:cs="Times New Roman"/>
                <w:b/>
                <w:bCs/>
                <w:color w:val="000000"/>
                <w:sz w:val="26"/>
                <w:szCs w:val="26"/>
                <w:lang w:val="en-US" w:eastAsia="ru-RU"/>
              </w:rPr>
            </w:pPr>
            <w:r>
              <w:rPr>
                <w:rFonts w:eastAsia="Times New Roman" w:cs="Times New Roman"/>
                <w:b/>
                <w:bCs/>
                <w:color w:val="000000"/>
                <w:sz w:val="26"/>
                <w:szCs w:val="26"/>
                <w:lang w:val="en-US" w:eastAsia="ru-RU"/>
              </w:rPr>
              <w:t>Position of the contact person</w:t>
            </w:r>
          </w:p>
        </w:tc>
        <w:tc>
          <w:tcPr>
            <w:tcW w:w="5528" w:type="dxa"/>
            <w:tcBorders>
              <w:tl2br w:val="nil"/>
              <w:tr2bl w:val="nil"/>
            </w:tcBorders>
            <w:shd w:val="clear" w:color="auto" w:fill="auto"/>
          </w:tcPr>
          <w:p w14:paraId="03BAD204">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211174, Republic of Belarus, Vitebsk region, Lepel, Svobody Square, 5, building 1</w:t>
            </w:r>
          </w:p>
        </w:tc>
      </w:tr>
      <w:tr w14:paraId="76D0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6E31CB10">
            <w:pPr>
              <w:ind w:firstLine="520" w:firstLineChars="200"/>
              <w:rPr>
                <w:rFonts w:eastAsia="Times New Roman" w:cs="Times New Roman"/>
                <w:b/>
                <w:bCs/>
                <w:color w:val="000000"/>
                <w:sz w:val="26"/>
                <w:szCs w:val="26"/>
                <w:lang w:val="en-US" w:eastAsia="ru-RU"/>
              </w:rPr>
            </w:pPr>
            <w:r>
              <w:rPr>
                <w:rFonts w:eastAsia="Times New Roman" w:cs="Times New Roman"/>
                <w:b/>
                <w:bCs/>
                <w:color w:val="000000"/>
                <w:sz w:val="26"/>
                <w:szCs w:val="26"/>
                <w:lang w:val="en-US" w:eastAsia="ru-RU"/>
              </w:rPr>
              <w:t>Name, surname of the contact person</w:t>
            </w:r>
          </w:p>
        </w:tc>
        <w:tc>
          <w:tcPr>
            <w:tcW w:w="5528" w:type="dxa"/>
            <w:tcBorders>
              <w:tl2br w:val="nil"/>
              <w:tr2bl w:val="nil"/>
            </w:tcBorders>
            <w:shd w:val="clear" w:color="auto" w:fill="auto"/>
          </w:tcPr>
          <w:p w14:paraId="75190E95">
            <w:pPr>
              <w:rPr>
                <w:rFonts w:eastAsia="Times New Roman" w:cs="Times New Roman"/>
                <w:color w:val="000000"/>
                <w:sz w:val="26"/>
                <w:szCs w:val="26"/>
                <w:lang w:eastAsia="ru-RU"/>
              </w:rPr>
            </w:pPr>
            <w:r>
              <w:rPr>
                <w:rFonts w:eastAsia="Times New Roman" w:cs="Times New Roman"/>
                <w:color w:val="000000"/>
                <w:sz w:val="26"/>
                <w:szCs w:val="26"/>
                <w:lang w:eastAsia="ru-RU"/>
              </w:rPr>
              <w:t>Churo Ala Petrovna</w:t>
            </w:r>
          </w:p>
        </w:tc>
      </w:tr>
      <w:tr w14:paraId="7FD9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6AE1D423">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Contact details for liaison</w:t>
            </w:r>
          </w:p>
        </w:tc>
        <w:tc>
          <w:tcPr>
            <w:tcW w:w="5528" w:type="dxa"/>
            <w:tcBorders>
              <w:tl2br w:val="nil"/>
              <w:tr2bl w:val="nil"/>
            </w:tcBorders>
            <w:shd w:val="clear" w:color="auto" w:fill="auto"/>
          </w:tcPr>
          <w:p w14:paraId="06A1E25B">
            <w:pPr>
              <w:rPr>
                <w:rFonts w:eastAsia="Times New Roman" w:cs="Times New Roman"/>
                <w:color w:val="000000"/>
                <w:sz w:val="26"/>
                <w:szCs w:val="26"/>
                <w:lang w:eastAsia="ru-RU"/>
              </w:rPr>
            </w:pPr>
            <w:r>
              <w:rPr>
                <w:rFonts w:eastAsia="Times New Roman" w:cs="Times New Roman"/>
                <w:color w:val="000000"/>
                <w:sz w:val="26"/>
                <w:szCs w:val="26"/>
                <w:lang w:eastAsia="ru-RU"/>
              </w:rPr>
              <w:t>cdim@roolepel.by, cdtlepel@gmail.com, +375336969334, +375213234938</w:t>
            </w:r>
          </w:p>
        </w:tc>
      </w:tr>
      <w:tr w14:paraId="323F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566430AA">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The Target group</w:t>
            </w:r>
          </w:p>
        </w:tc>
        <w:tc>
          <w:tcPr>
            <w:tcW w:w="5528" w:type="dxa"/>
            <w:tcBorders>
              <w:tl2br w:val="nil"/>
              <w:tr2bl w:val="nil"/>
            </w:tcBorders>
            <w:shd w:val="clear" w:color="auto" w:fill="auto"/>
          </w:tcPr>
          <w:p w14:paraId="76E33FED">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Children aged 11-17 years in need of health improvement (from the age of 9, provided that the children have received special training in associations for the interests of local history tourism)</w:t>
            </w:r>
          </w:p>
        </w:tc>
      </w:tr>
      <w:tr w14:paraId="4891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402CA48B">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Place of project realisation</w:t>
            </w:r>
          </w:p>
        </w:tc>
        <w:tc>
          <w:tcPr>
            <w:tcW w:w="5528" w:type="dxa"/>
            <w:tcBorders>
              <w:tl2br w:val="nil"/>
              <w:tr2bl w:val="nil"/>
            </w:tcBorders>
            <w:shd w:val="clear" w:color="auto" w:fill="auto"/>
          </w:tcPr>
          <w:p w14:paraId="567A6A47">
            <w:pPr>
              <w:rPr>
                <w:rFonts w:eastAsia="Times New Roman" w:cs="Times New Roman"/>
                <w:color w:val="000000"/>
                <w:sz w:val="26"/>
                <w:szCs w:val="26"/>
                <w:lang w:eastAsia="ru-RU"/>
              </w:rPr>
            </w:pPr>
            <w:r>
              <w:rPr>
                <w:rFonts w:eastAsia="Times New Roman" w:cs="Times New Roman"/>
                <w:color w:val="000000"/>
                <w:sz w:val="26"/>
                <w:szCs w:val="26"/>
                <w:lang w:eastAsia="ru-RU"/>
              </w:rPr>
              <w:t>Lepel, Lepel district</w:t>
            </w:r>
          </w:p>
        </w:tc>
      </w:tr>
      <w:tr w14:paraId="0E93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2572ADB8">
            <w:pPr>
              <w:rPr>
                <w:rFonts w:eastAsia="Times New Roman" w:cs="Times New Roman"/>
                <w:b/>
                <w:bCs/>
                <w:color w:val="222222"/>
                <w:sz w:val="26"/>
                <w:szCs w:val="26"/>
                <w:lang w:val="en-US" w:eastAsia="ru-RU"/>
              </w:rPr>
            </w:pPr>
            <w:r>
              <w:rPr>
                <w:rFonts w:eastAsia="Times New Roman" w:cs="Times New Roman"/>
                <w:b/>
                <w:bCs/>
                <w:color w:val="222222"/>
                <w:sz w:val="26"/>
                <w:szCs w:val="26"/>
                <w:lang w:val="en-US" w:eastAsia="ru-RU"/>
              </w:rPr>
              <w:t>Justification of the problem taking into account the baseline situation in the project region</w:t>
            </w:r>
          </w:p>
        </w:tc>
        <w:tc>
          <w:tcPr>
            <w:tcW w:w="5528" w:type="dxa"/>
            <w:tcBorders>
              <w:tl2br w:val="nil"/>
              <w:tr2bl w:val="nil"/>
            </w:tcBorders>
            <w:shd w:val="clear" w:color="auto" w:fill="auto"/>
          </w:tcPr>
          <w:p w14:paraId="50DA7911">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 a number of years, the Lepel District Center for Children and Youth has been organizing the operation of a mobile tent camp with a tourist and local history profile with a round-the–clock stay of children (hereinafter referred to as the camp). The organization of recreation is at a high level, the work of the camp is of great interest to children and their legal representatives, the camp allows for summer leisure employment for children of senior school age, but at the same time, the camp's material base needs to be modernized and strengthened, starting from equipment for sports tourism (insurance, zhumars, pantinas, etc.) and ending with household equipment (tents, sleeping bags, tourist furniture, etc.). Today, due to the limited material base, the center cannot provide health improvement for more than 10 children.</w:t>
            </w:r>
          </w:p>
        </w:tc>
      </w:tr>
      <w:tr w14:paraId="0645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235CF774">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Project Aim</w:t>
            </w:r>
          </w:p>
        </w:tc>
        <w:tc>
          <w:tcPr>
            <w:tcW w:w="5528" w:type="dxa"/>
            <w:tcBorders>
              <w:tl2br w:val="nil"/>
              <w:tr2bl w:val="nil"/>
            </w:tcBorders>
            <w:shd w:val="clear" w:color="auto" w:fill="auto"/>
          </w:tcPr>
          <w:p w14:paraId="00EEC944">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Organization of active and useful leisure activities for children and adolescents in the summer, creation of conditions for their full-fledged rest, health promotion, comprehensive development and self-realization by means of tourism, local history and sightseeing work</w:t>
            </w:r>
          </w:p>
        </w:tc>
      </w:tr>
      <w:tr w14:paraId="4B7A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4D95C4B2">
            <w:pPr>
              <w:rPr>
                <w:rFonts w:eastAsia="Times New Roman" w:cs="Times New Roman"/>
                <w:b/>
                <w:bCs/>
                <w:color w:val="222222"/>
                <w:sz w:val="26"/>
                <w:szCs w:val="26"/>
                <w:lang w:eastAsia="ru-RU"/>
              </w:rPr>
            </w:pPr>
            <w:r>
              <w:rPr>
                <w:rFonts w:eastAsia="Times New Roman" w:cs="Times New Roman"/>
                <w:b/>
                <w:bCs/>
                <w:color w:val="222222"/>
                <w:sz w:val="26"/>
                <w:szCs w:val="26"/>
                <w:lang w:eastAsia="ru-RU"/>
              </w:rPr>
              <w:t>Project Summary</w:t>
            </w:r>
          </w:p>
        </w:tc>
        <w:tc>
          <w:tcPr>
            <w:tcW w:w="5528" w:type="dxa"/>
            <w:tcBorders>
              <w:tl2br w:val="nil"/>
              <w:tr2bl w:val="nil"/>
            </w:tcBorders>
            <w:shd w:val="clear" w:color="auto" w:fill="auto"/>
          </w:tcPr>
          <w:p w14:paraId="60FF87C6">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Organization of a mobile tent camp with round-the-clock stay of minors</w:t>
            </w:r>
          </w:p>
        </w:tc>
      </w:tr>
      <w:tr w14:paraId="603D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tcPr>
          <w:p w14:paraId="2F6D186E">
            <w:pPr>
              <w:rPr>
                <w:rFonts w:eastAsia="Times New Roman" w:cs="Times New Roman"/>
                <w:color w:val="000000"/>
                <w:sz w:val="26"/>
                <w:szCs w:val="26"/>
                <w:lang w:eastAsia="ru-RU"/>
              </w:rPr>
            </w:pPr>
            <w:r>
              <w:rPr>
                <w:rFonts w:eastAsia="Times New Roman" w:cs="Times New Roman"/>
                <w:color w:val="000000"/>
                <w:sz w:val="26"/>
                <w:szCs w:val="26"/>
                <w:lang w:eastAsia="ru-RU"/>
              </w:rPr>
              <w:t>Total project funding</w:t>
            </w:r>
          </w:p>
        </w:tc>
      </w:tr>
      <w:tr w14:paraId="1BE4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3FFD815C">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Planned number of trenches</w:t>
            </w:r>
          </w:p>
        </w:tc>
        <w:tc>
          <w:tcPr>
            <w:tcW w:w="5528" w:type="dxa"/>
            <w:tcBorders>
              <w:tl2br w:val="nil"/>
              <w:tr2bl w:val="nil"/>
            </w:tcBorders>
            <w:shd w:val="clear" w:color="auto" w:fill="auto"/>
          </w:tcPr>
          <w:p w14:paraId="6828CCCC">
            <w:pPr>
              <w:rPr>
                <w:rFonts w:eastAsia="Times New Roman" w:cs="Times New Roman"/>
                <w:color w:val="000000"/>
                <w:sz w:val="26"/>
                <w:szCs w:val="26"/>
                <w:lang w:eastAsia="ru-RU"/>
              </w:rPr>
            </w:pPr>
            <w:r>
              <w:rPr>
                <w:rFonts w:eastAsia="Times New Roman" w:cs="Times New Roman"/>
                <w:color w:val="000000"/>
                <w:sz w:val="26"/>
                <w:szCs w:val="26"/>
                <w:lang w:eastAsia="ru-RU"/>
              </w:rPr>
              <w:t>3</w:t>
            </w:r>
          </w:p>
        </w:tc>
      </w:tr>
      <w:tr w14:paraId="6C5E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69FE8DD2">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Currency</w:t>
            </w:r>
          </w:p>
        </w:tc>
        <w:tc>
          <w:tcPr>
            <w:tcW w:w="5528" w:type="dxa"/>
            <w:tcBorders>
              <w:tl2br w:val="nil"/>
              <w:tr2bl w:val="nil"/>
            </w:tcBorders>
            <w:shd w:val="clear" w:color="auto" w:fill="auto"/>
          </w:tcPr>
          <w:p w14:paraId="1B807AE4">
            <w:pPr>
              <w:rPr>
                <w:rFonts w:eastAsia="Times New Roman" w:cs="Times New Roman"/>
                <w:color w:val="000000"/>
                <w:sz w:val="26"/>
                <w:szCs w:val="26"/>
                <w:lang w:eastAsia="ru-RU"/>
              </w:rPr>
            </w:pPr>
            <w:r>
              <w:rPr>
                <w:rFonts w:eastAsia="Times New Roman" w:cs="Times New Roman"/>
                <w:color w:val="000000"/>
                <w:sz w:val="26"/>
                <w:szCs w:val="26"/>
                <w:lang w:eastAsia="ru-RU"/>
              </w:rPr>
              <w:t>BYN</w:t>
            </w:r>
          </w:p>
        </w:tc>
      </w:tr>
      <w:tr w14:paraId="4DAE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7FFA6A70">
            <w:pPr>
              <w:ind w:firstLine="520" w:firstLineChars="200"/>
              <w:rPr>
                <w:rFonts w:eastAsia="Times New Roman" w:cs="Times New Roman"/>
                <w:color w:val="000000"/>
                <w:sz w:val="26"/>
                <w:szCs w:val="26"/>
                <w:lang w:eastAsia="ru-RU"/>
              </w:rPr>
            </w:pPr>
            <w:r>
              <w:rPr>
                <w:rFonts w:eastAsia="Times New Roman" w:cs="Times New Roman"/>
                <w:color w:val="000000"/>
                <w:sz w:val="26"/>
                <w:szCs w:val="26"/>
                <w:lang w:eastAsia="ru-RU"/>
              </w:rPr>
              <w:t>Total</w:t>
            </w:r>
          </w:p>
        </w:tc>
        <w:tc>
          <w:tcPr>
            <w:tcW w:w="5528" w:type="dxa"/>
            <w:tcBorders>
              <w:tl2br w:val="nil"/>
              <w:tr2bl w:val="nil"/>
            </w:tcBorders>
            <w:shd w:val="clear" w:color="auto" w:fill="auto"/>
          </w:tcPr>
          <w:p w14:paraId="5AADCEB6">
            <w:pPr>
              <w:rPr>
                <w:rFonts w:eastAsia="Times New Roman" w:cs="Times New Roman"/>
                <w:color w:val="000000"/>
                <w:sz w:val="26"/>
                <w:szCs w:val="26"/>
                <w:lang w:eastAsia="ru-RU"/>
              </w:rPr>
            </w:pPr>
            <w:r>
              <w:rPr>
                <w:rFonts w:eastAsia="Times New Roman" w:cs="Times New Roman"/>
                <w:color w:val="000000"/>
                <w:sz w:val="26"/>
                <w:szCs w:val="26"/>
                <w:lang w:eastAsia="ru-RU"/>
              </w:rPr>
              <w:t>35000,00</w:t>
            </w:r>
          </w:p>
        </w:tc>
      </w:tr>
      <w:tr w14:paraId="75B8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2B0D89CB">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Donor funds</w:t>
            </w:r>
          </w:p>
        </w:tc>
        <w:tc>
          <w:tcPr>
            <w:tcW w:w="5528" w:type="dxa"/>
            <w:tcBorders>
              <w:tl2br w:val="nil"/>
              <w:tr2bl w:val="nil"/>
            </w:tcBorders>
            <w:shd w:val="clear" w:color="auto" w:fill="auto"/>
          </w:tcPr>
          <w:p w14:paraId="4A1FEAA0">
            <w:pPr>
              <w:rPr>
                <w:rFonts w:eastAsia="Times New Roman" w:cs="Times New Roman"/>
                <w:color w:val="000000"/>
                <w:sz w:val="26"/>
                <w:szCs w:val="26"/>
                <w:lang w:eastAsia="ru-RU"/>
              </w:rPr>
            </w:pPr>
            <w:r>
              <w:rPr>
                <w:rFonts w:eastAsia="Times New Roman" w:cs="Times New Roman"/>
                <w:color w:val="000000"/>
                <w:sz w:val="26"/>
                <w:szCs w:val="26"/>
                <w:lang w:eastAsia="ru-RU"/>
              </w:rPr>
              <w:t>33000,00</w:t>
            </w:r>
          </w:p>
        </w:tc>
      </w:tr>
      <w:tr w14:paraId="7A18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6BF6D935">
            <w:pPr>
              <w:ind w:firstLine="520" w:firstLineChars="200"/>
              <w:rPr>
                <w:rFonts w:eastAsia="Times New Roman" w:cs="Times New Roman"/>
                <w:b/>
                <w:bCs/>
                <w:color w:val="000000"/>
                <w:sz w:val="26"/>
                <w:szCs w:val="26"/>
                <w:lang w:eastAsia="ru-RU"/>
              </w:rPr>
            </w:pPr>
            <w:r>
              <w:rPr>
                <w:rFonts w:eastAsia="Times New Roman" w:cs="Times New Roman"/>
                <w:b/>
                <w:bCs/>
                <w:color w:val="000000"/>
                <w:sz w:val="26"/>
                <w:szCs w:val="26"/>
                <w:lang w:eastAsia="ru-RU"/>
              </w:rPr>
              <w:t>Co-financing</w:t>
            </w:r>
          </w:p>
        </w:tc>
        <w:tc>
          <w:tcPr>
            <w:tcW w:w="5528" w:type="dxa"/>
            <w:tcBorders>
              <w:tl2br w:val="nil"/>
              <w:tr2bl w:val="nil"/>
            </w:tcBorders>
            <w:shd w:val="clear" w:color="auto" w:fill="auto"/>
          </w:tcPr>
          <w:p w14:paraId="5FFC2ED6">
            <w:pPr>
              <w:rPr>
                <w:rFonts w:eastAsia="Times New Roman" w:cs="Times New Roman"/>
                <w:color w:val="000000"/>
                <w:sz w:val="26"/>
                <w:szCs w:val="26"/>
                <w:lang w:eastAsia="ru-RU"/>
              </w:rPr>
            </w:pPr>
            <w:r>
              <w:rPr>
                <w:rFonts w:eastAsia="Times New Roman" w:cs="Times New Roman"/>
                <w:color w:val="000000"/>
                <w:sz w:val="26"/>
                <w:szCs w:val="26"/>
                <w:lang w:eastAsia="ru-RU"/>
              </w:rPr>
              <w:t>2000,00</w:t>
            </w:r>
          </w:p>
        </w:tc>
      </w:tr>
      <w:tr w14:paraId="7222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1" w:type="dxa"/>
            <w:tcBorders>
              <w:tl2br w:val="nil"/>
              <w:tr2bl w:val="nil"/>
            </w:tcBorders>
            <w:shd w:val="clear" w:color="auto" w:fill="auto"/>
          </w:tcPr>
          <w:p w14:paraId="4EC55C0A">
            <w:pPr>
              <w:rPr>
                <w:rFonts w:eastAsia="Times New Roman" w:cs="Times New Roman"/>
                <w:b/>
                <w:bCs/>
                <w:color w:val="222222"/>
                <w:sz w:val="26"/>
                <w:szCs w:val="26"/>
                <w:lang w:val="en-US" w:eastAsia="ru-RU"/>
              </w:rPr>
            </w:pPr>
            <w:r>
              <w:rPr>
                <w:rFonts w:eastAsia="Times New Roman" w:cs="Times New Roman"/>
                <w:b/>
                <w:bCs/>
                <w:color w:val="222222"/>
                <w:sz w:val="26"/>
                <w:szCs w:val="26"/>
                <w:lang w:val="en-US" w:eastAsia="ru-RU"/>
              </w:rPr>
              <w:t>Further activities at the end of the project</w:t>
            </w:r>
          </w:p>
        </w:tc>
        <w:tc>
          <w:tcPr>
            <w:tcW w:w="5528" w:type="dxa"/>
            <w:tcBorders>
              <w:tl2br w:val="nil"/>
              <w:tr2bl w:val="nil"/>
            </w:tcBorders>
            <w:shd w:val="clear" w:color="auto" w:fill="auto"/>
          </w:tcPr>
          <w:p w14:paraId="78C84A1C">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Organization of health improvement of children in need of health improvement at a higher organizational level, ensuring greater coverage of children</w:t>
            </w:r>
          </w:p>
        </w:tc>
      </w:tr>
      <w:tr w14:paraId="0360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32ED0359">
            <w:pPr>
              <w:rPr>
                <w:rFonts w:eastAsia="Times New Roman" w:cs="Times New Roman"/>
                <w:b/>
                <w:bCs/>
                <w:color w:val="000000"/>
                <w:sz w:val="26"/>
                <w:szCs w:val="26"/>
                <w:lang w:val="en-US" w:eastAsia="ru-RU"/>
              </w:rPr>
            </w:pPr>
            <w:r>
              <w:rPr>
                <w:rFonts w:eastAsia="Times New Roman" w:cs="Times New Roman"/>
                <w:b/>
                <w:bCs/>
                <w:color w:val="000000"/>
                <w:sz w:val="26"/>
                <w:szCs w:val="26"/>
                <w:lang w:val="en-US" w:eastAsia="ru-RU"/>
              </w:rPr>
              <w:t>The envisaged objectives during the project work:</w:t>
            </w:r>
          </w:p>
        </w:tc>
      </w:tr>
      <w:tr w14:paraId="63FD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52285E0F">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modernization and strengthening of the material and technical base of the mobile tent camp of the tourist and local history profile with round-the-clock stay of children "Ants" (hereinafter referred to as the camp) by purchasing equipment to equip the tent camp taking into account the needs</w:t>
            </w:r>
          </w:p>
        </w:tc>
      </w:tr>
      <w:tr w14:paraId="6FC2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536DCC51">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ensuring the safe stay of camp pupils and their quality health improvement</w:t>
            </w:r>
          </w:p>
        </w:tc>
      </w:tr>
      <w:tr w14:paraId="2EBB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6A510C06">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of a belief in the prestige of healthy behavior and the need for a healthy lifestyle</w:t>
            </w:r>
          </w:p>
        </w:tc>
      </w:tr>
      <w:tr w14:paraId="524E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4CFE827D">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and improvement of sports and tourism skills</w:t>
            </w:r>
          </w:p>
        </w:tc>
      </w:tr>
      <w:tr w14:paraId="60DB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065F699C">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creating conditions for self-realization, the development of creative abilities, and the formation of positive life skills in children in an informal setting</w:t>
            </w:r>
          </w:p>
        </w:tc>
      </w:tr>
      <w:tr w14:paraId="03DF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3FF1BB56">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of civic and national self-awareness of children and adolescents through their involvement in the study of their native land, its national traditions, cultural and historical heritage, and inclusion in socially significant activities</w:t>
            </w:r>
          </w:p>
        </w:tc>
      </w:tr>
      <w:tr w14:paraId="6D8F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44C35A3E">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of a responsible attitude towards observing the rules of safe behavior in the camp (as well as hiking, excursions, etc.), improving the culture of behavior in public places</w:t>
            </w:r>
          </w:p>
        </w:tc>
      </w:tr>
      <w:tr w14:paraId="56C7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2064E00F">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to teach children and adolescents to successfully cope with everyday tasks that arise in the course of daily life</w:t>
            </w:r>
          </w:p>
        </w:tc>
      </w:tr>
      <w:tr w14:paraId="0EAC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15BC5E79">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of a value-based attitude to the material environment, careful attitude to resources that affect the quality of human life</w:t>
            </w:r>
          </w:p>
        </w:tc>
      </w:tr>
      <w:tr w14:paraId="2992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1ED09C5D">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formation of a responsible, careful attitude towards the surrounding nature</w:t>
            </w:r>
          </w:p>
        </w:tc>
      </w:tr>
      <w:tr w14:paraId="1AF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1DC20F31">
            <w:pPr>
              <w:rPr>
                <w:rFonts w:eastAsia="Times New Roman" w:cs="Times New Roman"/>
                <w:b/>
                <w:bCs/>
                <w:color w:val="000000"/>
                <w:sz w:val="26"/>
                <w:szCs w:val="26"/>
                <w:lang w:eastAsia="ru-RU"/>
              </w:rPr>
            </w:pPr>
            <w:r>
              <w:rPr>
                <w:rFonts w:eastAsia="Times New Roman" w:cs="Times New Roman"/>
                <w:b/>
                <w:bCs/>
                <w:color w:val="000000"/>
                <w:sz w:val="26"/>
                <w:szCs w:val="26"/>
                <w:lang w:eastAsia="ru-RU"/>
              </w:rPr>
              <w:t>Description of project activities:</w:t>
            </w:r>
          </w:p>
        </w:tc>
      </w:tr>
      <w:tr w14:paraId="4A51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02E3B1B3">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The project is a set of measures aimed at organizing active and useful leisure activities for children and adolescents in the summer, creating conditions for their full-fledged rest, health promotion, comprehensive development and self-realization through tourism, local history and sightseeing work:</w:t>
            </w:r>
          </w:p>
        </w:tc>
      </w:tr>
      <w:tr w14:paraId="124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35736988">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preparation and approval of cost estimates</w:t>
            </w:r>
          </w:p>
        </w:tc>
      </w:tr>
      <w:tr w14:paraId="226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662112C9">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purchase of equipment for sports tourism, household tourist equipment</w:t>
            </w:r>
          </w:p>
        </w:tc>
      </w:tr>
      <w:tr w14:paraId="71A7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29" w:type="dxa"/>
            <w:gridSpan w:val="2"/>
            <w:tcBorders>
              <w:tl2br w:val="nil"/>
              <w:tr2bl w:val="nil"/>
            </w:tcBorders>
            <w:shd w:val="clear" w:color="auto" w:fill="auto"/>
            <w:noWrap/>
            <w:vAlign w:val="bottom"/>
          </w:tcPr>
          <w:p w14:paraId="58209BFE">
            <w:pPr>
              <w:rPr>
                <w:rFonts w:eastAsia="Times New Roman" w:cs="Times New Roman"/>
                <w:color w:val="000000"/>
                <w:sz w:val="26"/>
                <w:szCs w:val="26"/>
                <w:lang w:val="en-US" w:eastAsia="ru-RU"/>
              </w:rPr>
            </w:pPr>
            <w:r>
              <w:rPr>
                <w:rFonts w:eastAsia="Times New Roman" w:cs="Times New Roman"/>
                <w:color w:val="000000"/>
                <w:sz w:val="26"/>
                <w:szCs w:val="26"/>
                <w:lang w:val="en-US" w:eastAsia="ru-RU"/>
              </w:rPr>
              <w:t>organization of summer recreation for children in need of health improvement in the conditions of a mobile tent camp of a tourist and local history profile with a round-the-clock stay of children "Ants"</w:t>
            </w:r>
          </w:p>
        </w:tc>
      </w:tr>
    </w:tbl>
    <w:p w14:paraId="320AE201">
      <w:pPr>
        <w:rPr>
          <w:sz w:val="26"/>
          <w:szCs w:val="26"/>
        </w:rPr>
      </w:pPr>
    </w:p>
    <w:p w14:paraId="590A3290">
      <w:pPr>
        <w:rPr>
          <w:sz w:val="26"/>
          <w:szCs w:val="26"/>
          <w:lang w:val="en-US"/>
        </w:rPr>
      </w:pPr>
    </w:p>
    <w:p w14:paraId="4779E409">
      <w:pPr>
        <w:rPr>
          <w:sz w:val="26"/>
          <w:szCs w:val="26"/>
          <w:lang w:val="en-US"/>
        </w:rPr>
      </w:pPr>
      <w:r>
        <w:rPr>
          <w:sz w:val="26"/>
          <w:szCs w:val="26"/>
          <w:lang w:val="en-US"/>
        </w:rPr>
        <w:br w:type="page"/>
      </w:r>
    </w:p>
    <w:p w14:paraId="4FA71E8F">
      <w:pPr>
        <w:rPr>
          <w:sz w:val="26"/>
          <w:szCs w:val="26"/>
        </w:rPr>
      </w:pPr>
      <w:r>
        <w:rPr>
          <w:sz w:val="26"/>
          <w:szCs w:val="26"/>
          <w:lang w:eastAsia="ru-RU"/>
        </w:rPr>
        <w:drawing>
          <wp:inline distT="0" distB="0" distL="0" distR="0">
            <wp:extent cx="5851525" cy="3306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849016" cy="3304960"/>
                    </a:xfrm>
                    <a:prstGeom prst="rect">
                      <a:avLst/>
                    </a:prstGeom>
                  </pic:spPr>
                </pic:pic>
              </a:graphicData>
            </a:graphic>
          </wp:inline>
        </w:drawing>
      </w:r>
    </w:p>
    <w:p w14:paraId="022E753D">
      <w:pPr>
        <w:rPr>
          <w:sz w:val="26"/>
          <w:szCs w:val="26"/>
        </w:rPr>
      </w:pPr>
    </w:p>
    <w:p w14:paraId="0F11F362">
      <w:pPr>
        <w:rPr>
          <w:sz w:val="26"/>
          <w:szCs w:val="26"/>
        </w:rPr>
      </w:pPr>
      <w:r>
        <w:rPr>
          <w:sz w:val="26"/>
          <w:szCs w:val="26"/>
          <w:lang w:eastAsia="ru-RU"/>
        </w:rPr>
        <w:drawing>
          <wp:inline distT="0" distB="0" distL="0" distR="0">
            <wp:extent cx="5826125" cy="4369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826796" cy="4369942"/>
                    </a:xfrm>
                    <a:prstGeom prst="rect">
                      <a:avLst/>
                    </a:prstGeom>
                  </pic:spPr>
                </pic:pic>
              </a:graphicData>
            </a:graphic>
          </wp:inline>
        </w:drawing>
      </w:r>
    </w:p>
    <w:p w14:paraId="6775A3B3">
      <w:pPr>
        <w:rPr>
          <w:sz w:val="26"/>
          <w:szCs w:val="26"/>
        </w:rPr>
      </w:pPr>
    </w:p>
    <w:p w14:paraId="627C1B92">
      <w:pPr>
        <w:rPr>
          <w:sz w:val="26"/>
          <w:szCs w:val="26"/>
        </w:rPr>
      </w:pPr>
      <w:r>
        <w:rPr>
          <w:sz w:val="26"/>
          <w:szCs w:val="26"/>
          <w:lang w:eastAsia="ru-RU"/>
        </w:rPr>
        <w:drawing>
          <wp:inline distT="0" distB="0" distL="0" distR="0">
            <wp:extent cx="5940425" cy="33566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0425" cy="3356610"/>
                    </a:xfrm>
                    <a:prstGeom prst="rect">
                      <a:avLst/>
                    </a:prstGeom>
                  </pic:spPr>
                </pic:pic>
              </a:graphicData>
            </a:graphic>
          </wp:inline>
        </w:drawing>
      </w:r>
    </w:p>
    <w:p w14:paraId="22869C0C">
      <w:pPr>
        <w:rPr>
          <w:sz w:val="26"/>
          <w:szCs w:val="26"/>
        </w:rPr>
      </w:pPr>
    </w:p>
    <w:p w14:paraId="1E801ED1">
      <w:pPr>
        <w:rPr>
          <w:sz w:val="26"/>
          <w:szCs w:val="26"/>
        </w:rPr>
      </w:pPr>
      <w:r>
        <w:rPr>
          <w:sz w:val="26"/>
          <w:szCs w:val="26"/>
          <w:lang w:eastAsia="ru-RU"/>
        </w:rPr>
        <w:drawing>
          <wp:inline distT="0" distB="0" distL="0" distR="0">
            <wp:extent cx="5940425" cy="33566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0425" cy="3356610"/>
                    </a:xfrm>
                    <a:prstGeom prst="rect">
                      <a:avLst/>
                    </a:prstGeom>
                  </pic:spPr>
                </pic:pic>
              </a:graphicData>
            </a:graphic>
          </wp:inline>
        </w:drawing>
      </w:r>
    </w:p>
    <w:p w14:paraId="6A68C601">
      <w:pPr>
        <w:rPr>
          <w:sz w:val="26"/>
          <w:szCs w:val="26"/>
        </w:rPr>
      </w:pPr>
      <w:r>
        <w:rPr>
          <w:sz w:val="26"/>
          <w:szCs w:val="26"/>
          <w:lang w:eastAsia="ru-RU"/>
        </w:rPr>
        <w:drawing>
          <wp:inline distT="0" distB="0" distL="0" distR="0">
            <wp:extent cx="5940425" cy="33566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0425" cy="3356610"/>
                    </a:xfrm>
                    <a:prstGeom prst="rect">
                      <a:avLst/>
                    </a:prstGeom>
                  </pic:spPr>
                </pic:pic>
              </a:graphicData>
            </a:graphic>
          </wp:inline>
        </w:drawing>
      </w:r>
    </w:p>
    <w:p w14:paraId="1CD99FD2">
      <w:pPr>
        <w:rPr>
          <w:sz w:val="26"/>
          <w:szCs w:val="26"/>
        </w:rPr>
      </w:pPr>
    </w:p>
    <w:p w14:paraId="377861D3">
      <w:pPr>
        <w:rPr>
          <w:sz w:val="26"/>
          <w:szCs w:val="26"/>
        </w:rPr>
      </w:pPr>
      <w:r>
        <w:rPr>
          <w:sz w:val="26"/>
          <w:szCs w:val="26"/>
          <w:lang w:eastAsia="ru-RU"/>
        </w:rPr>
        <w:drawing>
          <wp:inline distT="0" distB="0" distL="0" distR="0">
            <wp:extent cx="5940425" cy="335661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0425" cy="3356610"/>
                    </a:xfrm>
                    <a:prstGeom prst="rect">
                      <a:avLst/>
                    </a:prstGeom>
                  </pic:spPr>
                </pic:pic>
              </a:graphicData>
            </a:graphic>
          </wp:inline>
        </w:drawing>
      </w:r>
    </w:p>
    <w:p w14:paraId="5E991C42">
      <w:pPr>
        <w:rPr>
          <w:sz w:val="26"/>
          <w:szCs w:val="26"/>
        </w:rPr>
      </w:pPr>
    </w:p>
    <w:p w14:paraId="4516675F">
      <w:pPr>
        <w:rPr>
          <w:sz w:val="26"/>
          <w:szCs w:val="26"/>
        </w:rPr>
      </w:pPr>
    </w:p>
    <w:p w14:paraId="52070D57">
      <w:pPr>
        <w:rPr>
          <w:sz w:val="26"/>
          <w:szCs w:val="26"/>
        </w:rPr>
      </w:pPr>
      <w:r>
        <w:rPr>
          <w:sz w:val="26"/>
          <w:szCs w:val="26"/>
          <w:lang w:eastAsia="ru-RU"/>
        </w:rPr>
        <w:drawing>
          <wp:inline distT="0" distB="0" distL="0" distR="0">
            <wp:extent cx="5940425" cy="7920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sz w:val="26"/>
          <w:szCs w:val="26"/>
          <w:lang w:eastAsia="ru-RU"/>
        </w:rPr>
        <w:drawing>
          <wp:inline distT="0" distB="0" distL="0" distR="0">
            <wp:extent cx="5940425" cy="79203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sectPr>
      <w:pgSz w:w="11906" w:h="16838"/>
      <w:pgMar w:top="1134" w:right="850" w:bottom="1134" w:left="1701" w:header="708" w:footer="70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29"/>
    <w:rsid w:val="000B0145"/>
    <w:rsid w:val="002501C0"/>
    <w:rsid w:val="009905B8"/>
    <w:rsid w:val="00A15429"/>
    <w:rsid w:val="780751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rPr>
      <w:rFonts w:ascii="Times New Roman" w:hAnsi="Times New Roman" w:eastAsiaTheme="minorHAnsi" w:cstheme="minorBidi"/>
      <w:sz w:val="28"/>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rPr>
      <w:rFonts w:ascii="Tahoma" w:hAnsi="Tahoma" w:cs="Tahoma"/>
      <w:sz w:val="16"/>
      <w:szCs w:val="16"/>
    </w:rPr>
  </w:style>
  <w:style w:type="character" w:customStyle="1" w:styleId="5">
    <w:name w:val="Текст выноски Знак"/>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1423</Words>
  <Characters>8113</Characters>
  <Lines>67</Lines>
  <Paragraphs>19</Paragraphs>
  <TotalTime>18</TotalTime>
  <ScaleCrop>false</ScaleCrop>
  <LinksUpToDate>false</LinksUpToDate>
  <CharactersWithSpaces>9517</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2025-04-03T08:07:00Z</dcterms:created>
  <dc:creator>User</dc:creator>
  <cp:lastModifiedBy>Oksana</cp:lastModifiedBy>
  <dcterms:modified xsi:type="dcterms:W3CDTF">2025-04-03T08:28:15Z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D908B53ECCBE4CA89E184A78BBE49B6F_12</vt:lpwstr>
  </property>
</Properties>
</file>