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О ПОРЯДКЕ СОБЛЮДЕНИЯ ЗАКОНОДАТЕЛЬСТВА ПРИ ОРГАНИЗАЦИИ И ПРОВЕДЕНИИ КУЛЬТУРНО-ЗРЕЛИЩНЫХ МЕРОПРИЯТИЙ 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организации и проведения культурно-зрелищных мероприятий</w:t>
      </w: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территории Республики Беларусь определён: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статьями 213-217 Кодекса</w:t>
      </w:r>
      <w:r w:rsidR="007F7D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 о культуре</w:t>
      </w:r>
      <w:r w:rsidR="000E23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ред. от 21.07.2022);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Постановление Совета Министров Республики Беларусь  от 22.06.2022 № 401 «О реестре организаторов культурно-зрелищных мероприятий»;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Постановление Министерства культуры Республики Беларусь от 12.12.2016 № 70 «Об установлении форм заявления о выдаче удостоверения на право организации и проведения культурно-зрелищного мероприятия на территории Республики Беларусь и удостоверения на право организации и проведения культурно-зрелищного мероприятия на территории Республики Беларусь» (ред. от 28.04.2018 № 25);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</w:t>
      </w:r>
      <w:r w:rsid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Кодекса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культуре под культурно-зрелищным мероприятием понимается публичное исполнение результатов творческой деятельности коллективами художественного творчества и (или) отдель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ными исполнителями. Например, 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спектакли, концерты, представления и любые другие культурные мероприятия, предусматривающие публичное исполнение результатов творческой деятельности коллективами художественного творчества или отдельными исполнителями (фестивали, вечеринки, праздники, </w:t>
      </w:r>
      <w:proofErr w:type="spellStart"/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корпоративы</w:t>
      </w:r>
      <w:proofErr w:type="spellEnd"/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юбилеи, театрализованные шествия, карнавалы, цирковые представления, шоу, </w:t>
      </w:r>
      <w:proofErr w:type="spellStart"/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баттлы</w:t>
      </w:r>
      <w:proofErr w:type="spellEnd"/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, церемонии вручения наград, конкурсы красоты, демонстрации моделей одежды и аксессуаров, церемонии открытия и закрытия спортивных, научных, экономических и иных мероприятий в случае участия в них творческих коллективов и исполнителей, творческие встречи, авторские вечера и другие).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отдельным исполнителям относятся актеры, музыканты-инструменталисты, вокалисты, танцовщики, артисты цирка, артисты оригинального жанра (фокусники, иллюзионисты, демонстраторы </w:t>
      </w:r>
      <w:proofErr w:type="spellStart"/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фаер</w:t>
      </w:r>
      <w:proofErr w:type="spellEnd"/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-шоу и другие), авторы-исполнители песен, чтецы, ведущие, аниматоры и иные лица, которые публично исполняют результаты творческой деятельности.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Организаторами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 являются белорусские юридические лица, индивидуальные предприниматели, зарегистрированные в Беларуси, иностранные граждане, лица без гражданства, иностранные или 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международные организации, в том числе не являющиеся юридическими лицами, которые осуществляют деятельность по проведению мероприятий.</w:t>
      </w:r>
    </w:p>
    <w:p w:rsidR="00EC719C" w:rsidRDefault="00D45DC2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кодекса</w:t>
      </w:r>
      <w:r w:rsidR="00EC719C"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организатор – это субъект, по решению которого проводится мероприятие и (или) осуществляется организация, финансирование или иное участие в мероприятии. 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Отличительными признаками организатора культурно-зрелищного мероприятия является принятие им решения об организации культурно-зрелищного мероприятия и (или) осуществление организационного, финансового, иного обеспечения организации и проведения культурно-зрелищного мероприятия.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Проведение культурных мероприятий в специально не предназначенных для этих целей местах под открытым небом или помещениях осуществляется в соответствии с Законом Республики Беларусь от 30.12.1997 № 114-З «О массовых мероприятиях» (ред. от 24.05.2021).</w:t>
      </w:r>
    </w:p>
    <w:p w:rsid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Организаторами культурного мероприятия может выступать один или несколько субъектов культурной деятельности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(пункт 2 статьи 210 Кодекса о культуре).</w:t>
      </w:r>
    </w:p>
    <w:p w:rsid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213</w:t>
      </w:r>
      <w:r w:rsidRPr="00D45DC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культурно-зрелищных мероприятий должны состоять в Реестре</w:t>
      </w:r>
      <w:r w:rsidRPr="00D45DC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 организаторов культурно-зрелищных мероприя</w:t>
      </w:r>
      <w:r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тий.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Включение в реестр осуществля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ет</w:t>
      </w:r>
      <w:r w:rsidRPr="00D45DC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ся Министерством культуры Республики Беларусь</w:t>
      </w: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(административная процедура 11.10.3). </w:t>
      </w:r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Документы предоставляются по адресу: 220004, </w:t>
      </w:r>
      <w:proofErr w:type="spellStart"/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г.Минск</w:t>
      </w:r>
      <w:proofErr w:type="spellEnd"/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пр. Победителей, 11 (с 9.00 до 18.00, кроме субботы и воскресенья) в кабинет 324. Контактный телефон 8-017-204 86 09. Адрес электронной почты: </w:t>
      </w:r>
      <w:hyperlink r:id="rId6" w:history="1">
        <w:r w:rsidRPr="00D45DC2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ministerstvo@kultura.by</w:t>
        </w:r>
      </w:hyperlink>
      <w:r w:rsidRPr="00D4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поданных документов проходит в течение 20 дней. Государственная пошлина за включение в Реестр не взимается.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этого срока Республиканская экспертная комиссия по формированию и ведению реестра принимает решение о включении в Реестр либо об отказе во включении в Реестр.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комиссии утверждается приказом Министра культуры Республики Беларусь. Заявитель письменно уведомляется о принятом комиссией решении в течение трех дней со дня издания приказа.</w:t>
      </w:r>
    </w:p>
    <w:p w:rsidR="00D45DC2" w:rsidRPr="00D45DC2" w:rsidRDefault="00D45DC2" w:rsidP="00D45DC2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 принятия решения о включении в Реестр юридическое лицо, индивидуальный предприниматель не смогут проводить культурно-зрелищные мероприятия и получать удостоверения на право организации и </w:t>
      </w:r>
      <w:r w:rsidRPr="00D45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проведения культурно-зрелищных мероприятий на территории Республики Беларусь.</w:t>
      </w:r>
    </w:p>
    <w:p w:rsidR="00D45DC2" w:rsidRPr="00D45DC2" w:rsidRDefault="00D45DC2" w:rsidP="00D45DC2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Включению в Реестр организаторов культурно-зрелищных мероприятий подлежат юридические лица, индивидуальные предприниматели, иностранные или международные организации, в том числе которые не являются юридическими лицами, но проводят культурно-зрелищные мероприятия.</w:t>
      </w:r>
    </w:p>
    <w:p w:rsidR="00D45DC2" w:rsidRPr="00D45DC2" w:rsidRDefault="00D45DC2" w:rsidP="00D45D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Исключения предусмотрены для:</w:t>
      </w:r>
    </w:p>
    <w:p w:rsidR="00D45DC2" w:rsidRPr="00D45DC2" w:rsidRDefault="00D45DC2" w:rsidP="00D45DC2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государственных органов;</w:t>
      </w:r>
    </w:p>
    <w:p w:rsidR="00D45DC2" w:rsidRPr="00D45DC2" w:rsidRDefault="00D45DC2" w:rsidP="00D45DC2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государственных организаций;</w:t>
      </w:r>
    </w:p>
    <w:p w:rsidR="00D45DC2" w:rsidRPr="00D45DC2" w:rsidRDefault="00D45DC2" w:rsidP="00D45DC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D45DC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организаций, в уставных фондах которых 50% и более акций (долей) находится в собственности Республики Беларусь и (или) ее административно-территориальных единиц.</w:t>
      </w:r>
    </w:p>
    <w:p w:rsidR="00D45DC2" w:rsidRPr="00D45DC2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C2" w:rsidRPr="00D45DC2" w:rsidRDefault="00D45DC2" w:rsidP="00D45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5DC2">
        <w:rPr>
          <w:rFonts w:ascii="Times New Roman" w:eastAsia="Calibri" w:hAnsi="Times New Roman" w:cs="Times New Roman"/>
          <w:sz w:val="30"/>
          <w:szCs w:val="30"/>
        </w:rPr>
        <w:t>Организация, которая заключает договор на подготовку и проведение культурно-зрелищного мероприятия с иным юридическим лицом, индивидуальным предпринимателем на оказание услуг, связанных с подготовкой и проведением культурно-зрелищного мероприятия, не подлежит включению в Реестр. Вместе с тем то юридическое лицо, индивидуальный предприниматель, с которыми данная организация заключает договор, должны состоять в Реестре организаторов культурно-зрелищных мероприятий.</w:t>
      </w:r>
    </w:p>
    <w:p w:rsidR="00D45DC2" w:rsidRPr="00D45DC2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C2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5DC2">
        <w:rPr>
          <w:rFonts w:ascii="Times New Roman" w:hAnsi="Times New Roman" w:cs="Times New Roman"/>
          <w:color w:val="000000"/>
          <w:sz w:val="30"/>
          <w:szCs w:val="30"/>
        </w:rPr>
        <w:t xml:space="preserve">  Организация и проведение культурно-зрелищных мероприятий организаторами культурно-зрелищных мероприятий, подлежащих включению в реестр, но не включенных в него, запрещаются</w:t>
      </w:r>
      <w:r w:rsidR="007F7DE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C45AE" w:rsidRPr="008C45AE" w:rsidRDefault="008C45AE" w:rsidP="008C45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8C45AE" w:rsidRPr="000E23C3" w:rsidRDefault="008C45AE" w:rsidP="008C45A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</w:pPr>
      <w:proofErr w:type="spellStart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Справочно</w:t>
      </w:r>
      <w:proofErr w:type="spellEnd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:   Если гражданин Беларуси проводит мероприятие не для получения прибыли, а для личных целей, например, семейный праздник, юбилей или свадьбу, ему не нужно регистрироваться в реестре, а значит, и получать гастрольное удостоверение. Так как под культурно-зрелищным мероприятием понимается </w:t>
      </w: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u w:val="single"/>
          <w:lang w:eastAsia="ru-RU"/>
        </w:rPr>
        <w:t>публичное </w:t>
      </w: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исполнение художественного произведения.</w:t>
      </w:r>
    </w:p>
    <w:p w:rsidR="008C45AE" w:rsidRPr="000E23C3" w:rsidRDefault="008C45AE" w:rsidP="008C45A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</w:pP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– Если обратиться к формулировке в </w:t>
      </w:r>
      <w:r w:rsidRPr="000E23C3">
        <w:rPr>
          <w:rFonts w:ascii="Times New Roman" w:eastAsia="Times New Roman" w:hAnsi="Times New Roman" w:cs="Times New Roman"/>
          <w:i/>
          <w:color w:val="14509C"/>
          <w:sz w:val="24"/>
          <w:szCs w:val="24"/>
          <w:lang w:eastAsia="ru-RU"/>
        </w:rPr>
        <w:t>законе</w:t>
      </w: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 «Об авторском праве и смежных правах», публичное выступление проходит в местах, где присутствуют или могут присутствовать лица, не принадлежащие к обычному кругу или близким знакомым семьи осуществляющего или организующего такое представление.</w:t>
      </w:r>
    </w:p>
    <w:p w:rsidR="008C45AE" w:rsidRPr="000E23C3" w:rsidRDefault="008C45AE" w:rsidP="008C45A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</w:pP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 xml:space="preserve">То есть владельцы ресторанов, в которых устраивают вечера с живой музыкой, считаются организаторами культурно-зрелищных мероприятий. Компании, которые проводят закрытый </w:t>
      </w:r>
      <w:proofErr w:type="spellStart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корпоратив</w:t>
      </w:r>
      <w:proofErr w:type="spellEnd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 xml:space="preserve"> для своих сотрудников с выступлением приглашенных артистов, тоже будут относиться к организаторам. Потому что подобное </w:t>
      </w: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lastRenderedPageBreak/>
        <w:t xml:space="preserve">мероприятие, согласно законодательству, будет считаться публичным. Соответственно, перед тем как организовать </w:t>
      </w:r>
      <w:proofErr w:type="spellStart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корп</w:t>
      </w:r>
      <w:bookmarkStart w:id="0" w:name="_GoBack"/>
      <w:bookmarkEnd w:id="0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оратив</w:t>
      </w:r>
      <w:proofErr w:type="spellEnd"/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, компания должна быть включена в реестр и получить гастрольное удостоверение.</w:t>
      </w:r>
    </w:p>
    <w:p w:rsidR="008C45AE" w:rsidRPr="000E23C3" w:rsidRDefault="008C45AE" w:rsidP="008C45A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</w:pPr>
      <w:r w:rsidRPr="000E23C3">
        <w:rPr>
          <w:rFonts w:ascii="Times New Roman" w:eastAsia="Times New Roman" w:hAnsi="Times New Roman" w:cs="Times New Roman"/>
          <w:i/>
          <w:color w:val="0E1829"/>
          <w:sz w:val="24"/>
          <w:szCs w:val="24"/>
          <w:lang w:eastAsia="ru-RU"/>
        </w:rPr>
        <w:t>Если же физическое лицо устраивает свадьбу для члена своей семьи и приглашает музыкантов, то ему не нужно соблюдать вышеназванные требования. В случае, если все организационные хлопоты ложатся на свадебное агентство, нужно проследить, чтобы агентство было включено в реестр и имело разрешение на проведение мероприятия.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организации и проведения культурно-зрелищного мероприятия его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организатор обязан получить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специальное разрешение –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удостоверение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спецыяльны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дазвол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»)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право организации и проведения культурно-зрелищного мероприятия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исключением случаев, когда получение удостоверения не требуется.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культурно-зрелищное мероприятие имеет двух и более организаторов, одному из которых в соответствии с Кодексом о культуре и (или) иными актами законодательства не требуется получение удостоверения, и иным организаторам также не требуется получение удостоверения.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подпунктом 3.2. пункта 3 статьи 214 Кодекса о культуре </w:t>
      </w:r>
      <w:r w:rsidRPr="00882D9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не требуется получение удостоверения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право организации и проведения культурно-зрелищного мероприятия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случаях, когда организаторами выступают:</w:t>
      </w:r>
    </w:p>
    <w:p w:rsidR="00EC719C" w:rsidRPr="00EC719C" w:rsidRDefault="00EC719C" w:rsidP="00EC7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структурные подразделения местных исполнительных и распорядительных органов областного территориального уровня, которые осуществляют государственно-властные полномочия в сфере культуры.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только белорусских исполнителей в случаях, когда:</w:t>
      </w:r>
    </w:p>
    <w:p w:rsidR="00EC719C" w:rsidRPr="00EC719C" w:rsidRDefault="00EC719C" w:rsidP="00EC7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мероприятия выступают юридические лица, которым присвоен статус «национальный», «академический» или звание «Заслуженный коллектив Республики Беларусь», или мероприятие проводится исключительно с участием исполнителей, которым присвоены такие статус и звание;</w:t>
      </w:r>
    </w:p>
    <w:p w:rsidR="00EC719C" w:rsidRPr="00EC719C" w:rsidRDefault="00EC719C" w:rsidP="00EC7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мероприятия выступают организации (организационные структуры) Федерации профсоюзов Беларуси;</w:t>
      </w:r>
    </w:p>
    <w:p w:rsidR="00EC719C" w:rsidRPr="00EC719C" w:rsidRDefault="00EC719C" w:rsidP="00EC7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а организатором мероприятия является государственная театрально-зрелищная организация, учреждение культуры областного (минского городского), районного (городского) подчинения или 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структурного подразделения по культуре юридического лица, подчиненного этому структурному подразделению;</w:t>
      </w:r>
    </w:p>
    <w:p w:rsidR="00EC719C" w:rsidRDefault="00EC719C" w:rsidP="00EC7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проводятся в комплексе санаторно-курортных и оздоровительных услуг, что оказываются государственными санаторно-курортными организациями или оздоровительными организациями, которые являются организаторами этого культурно-зрелищного мероприятия;</w:t>
      </w:r>
    </w:p>
    <w:p w:rsidR="007F7DEE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получения удостоверения на право организации и проведения культурно-зрелищного мероприятия</w:t>
      </w:r>
      <w:r w:rsidR="007F7D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EC71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удостоверения на право организации и проведения культурно-зрелищного мероприятия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организатор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культурно-зрелищного мероприятия представляет в управление культуры Витебского облисполкома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пакет документов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определённый регламентами административных процедур, осуществляемыми в отношении субъектов хозяйствования, утверждёнными постановлением Министерства культуры Республики Беларусь от 04.01.2022 № 3.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Документы на получение удостоверения должны быть представлены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позднее чем за десять рабочих дней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 планируемого дня начала реализации входных билетов.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и размер платы (государственной пошлины), взимаемой при осуществлении административной процедуры 11.10.2, или перечень затрат, связанных с осуществлением административной процедуры, определены пунктам 4 статьи 290 Налогового кодекса Республики Беларусь (Особенная часть) от 29.12.2009 № 71-З (ред. от 31.12.2021).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Освобождаются от уплаты государственной пошлины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 совершении иных юридически значимых действий:</w:t>
      </w:r>
    </w:p>
    <w:p w:rsidR="00EC719C" w:rsidRPr="00EC719C" w:rsidRDefault="00EC719C" w:rsidP="00EC7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культурно-зрелищного мероприятия с участием только белорусских исполнителей;</w:t>
      </w:r>
    </w:p>
    <w:p w:rsidR="00EC719C" w:rsidRPr="00EC719C" w:rsidRDefault="00EC719C" w:rsidP="00EC7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организация культуры при условии финансирования организации и проведения культурно-зрелищного мероприятия полностью либо частично за счет средств бюджета.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Государственная пошлина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выдачу удостоверения на право организации и проведения культурно-зрелищного мероприятия на территории Республики Беларусь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взимается однократно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установленной ставке при проведении:</w:t>
      </w:r>
    </w:p>
    <w:p w:rsidR="00EC719C" w:rsidRPr="00EC719C" w:rsidRDefault="00EC719C" w:rsidP="00EC7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нескольких культурно-зрелищных мероприятий в зависимости от наибольшей проектной вместимости сценической площадки, на которой планируется проведение одного из этих мероприятий, а при ее отсутствии - 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зависимости от наибольшего количества входных билетов, планируемого к реализации при проведении одного из этих мероприятий;</w:t>
      </w:r>
    </w:p>
    <w:p w:rsidR="00EC719C" w:rsidRPr="00EC719C" w:rsidRDefault="00EC719C" w:rsidP="00EC7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нескольких культурно-зрелищных мероприятий на сценических площадках, или в специально не предназначенных для этих целей местах под открытым небом, или в помещении при отсутствии проектной вместимости и реализации входных билетов.</w:t>
      </w:r>
    </w:p>
    <w:p w:rsidR="00EC719C" w:rsidRPr="00EC719C" w:rsidRDefault="00EC719C" w:rsidP="00EC719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Сроки осуществления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административных процедур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 11.10.1 и 11.10.2 составляют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 рабочих дней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Сроки рассмотрения могут быть увеличены при необходимости получения:</w:t>
      </w:r>
    </w:p>
    <w:p w:rsidR="00EC719C" w:rsidRPr="00EC719C" w:rsidRDefault="00EC719C" w:rsidP="00EC7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Республиканской (областной) экспертной комиссии по предотвращению пропаганды порнографии, насилия и жестокости -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 рабочих дней</w:t>
      </w: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C719C" w:rsidRPr="00EC719C" w:rsidRDefault="00EC719C" w:rsidP="00EC7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19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о деятельности исполнителей, участие которых предусмотрено программой культурно-зрелищного мероприятия, - </w:t>
      </w:r>
      <w:r w:rsidRPr="00EC71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 рабочих дней.</w:t>
      </w:r>
    </w:p>
    <w:p w:rsidR="00DE5DBA" w:rsidRDefault="000E23C3"/>
    <w:sectPr w:rsidR="00DE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917"/>
    <w:multiLevelType w:val="multilevel"/>
    <w:tmpl w:val="392C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760B"/>
    <w:multiLevelType w:val="multilevel"/>
    <w:tmpl w:val="BF3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607B9"/>
    <w:multiLevelType w:val="multilevel"/>
    <w:tmpl w:val="D4C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149D1"/>
    <w:multiLevelType w:val="multilevel"/>
    <w:tmpl w:val="129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1013"/>
    <w:multiLevelType w:val="multilevel"/>
    <w:tmpl w:val="AD5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D7E27"/>
    <w:multiLevelType w:val="multilevel"/>
    <w:tmpl w:val="CD4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9C"/>
    <w:rsid w:val="000E23C3"/>
    <w:rsid w:val="00161CD4"/>
    <w:rsid w:val="007F7DEE"/>
    <w:rsid w:val="00882D98"/>
    <w:rsid w:val="008C45AE"/>
    <w:rsid w:val="00BB6F6F"/>
    <w:rsid w:val="00D45DC2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erstvo@kultur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WorkPC1</cp:lastModifiedBy>
  <cp:revision>2</cp:revision>
  <dcterms:created xsi:type="dcterms:W3CDTF">2022-12-20T05:54:00Z</dcterms:created>
  <dcterms:modified xsi:type="dcterms:W3CDTF">2022-12-20T05:54:00Z</dcterms:modified>
</cp:coreProperties>
</file>