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3C" w:rsidRPr="00DA3819" w:rsidRDefault="0019233C" w:rsidP="0019233C">
      <w:pPr>
        <w:pStyle w:val="a3"/>
        <w:ind w:firstLine="709"/>
        <w:jc w:val="center"/>
        <w:rPr>
          <w:sz w:val="28"/>
          <w:szCs w:val="28"/>
        </w:rPr>
      </w:pPr>
      <w:r w:rsidRPr="00DA3819">
        <w:rPr>
          <w:rStyle w:val="a4"/>
          <w:sz w:val="28"/>
          <w:szCs w:val="28"/>
        </w:rPr>
        <w:t>О предоставлении земельных участков для крестьянского (фермерского) хозяйства.</w:t>
      </w:r>
    </w:p>
    <w:p w:rsidR="00871304" w:rsidRDefault="00871304" w:rsidP="007316DB">
      <w:pPr>
        <w:pStyle w:val="a3"/>
        <w:shd w:val="clear" w:color="auto" w:fill="FFFFFF"/>
        <w:spacing w:before="0" w:beforeAutospacing="0" w:after="294" w:afterAutospacing="0"/>
        <w:ind w:firstLine="709"/>
        <w:contextualSpacing/>
        <w:jc w:val="both"/>
        <w:textAlignment w:val="baseline"/>
        <w:rPr>
          <w:color w:val="3D3D3D"/>
          <w:sz w:val="32"/>
          <w:szCs w:val="32"/>
        </w:rPr>
      </w:pP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Право на создание крестьянского (фермерского) хозяйства (далее – КФХ) имеют дееспособные граждане Республики Беларусь, иностранные граждане и лица без гражданства, постоянно проживающие на территории Республики Беларусь.</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Для государственной регистрации КФХ наряду с документами, предусмотренными Положением о государственной регистрации субъектов хозяйствования, утвержденным Декретом Президента Республики Беларусь от 16.01.2009 № 1, представляется копия документа местного исполнительного и распорядительного органа о подтверждении возможности размещения КФХ и предполагаемом месте такого размещения.</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Лица, пожелавшие создать КФХ, подают в районный исполнительный комитет заявление о подтверждении возможности размещения КФХ и предполагаемом месте размещения земельного участка для его ведения.</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proofErr w:type="gramStart"/>
      <w:r w:rsidRPr="00871304">
        <w:rPr>
          <w:color w:val="3D3D3D"/>
          <w:sz w:val="32"/>
          <w:szCs w:val="32"/>
        </w:rPr>
        <w:t>Преимущественное право на получение земельного участка для ведения КФХ при прочих равных условиях имеют КФХ,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реорганизуемых или ликвидируемых сельскохозяйственных организаций.</w:t>
      </w:r>
      <w:proofErr w:type="gramEnd"/>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 xml:space="preserve">КФХ считается созданным </w:t>
      </w:r>
      <w:proofErr w:type="gramStart"/>
      <w:r w:rsidRPr="00871304">
        <w:rPr>
          <w:color w:val="3D3D3D"/>
          <w:sz w:val="32"/>
          <w:szCs w:val="32"/>
        </w:rPr>
        <w:t>с</w:t>
      </w:r>
      <w:proofErr w:type="gramEnd"/>
      <w:r w:rsidRPr="00871304">
        <w:rPr>
          <w:color w:val="3D3D3D"/>
          <w:sz w:val="32"/>
          <w:szCs w:val="32"/>
        </w:rPr>
        <w:t xml:space="preserve"> даты его государственной регистрации. После этого земельный участок предоставляется КФХ в постоянное пользование или аренду либо главе этого хозяйства в пожизненное наследуемое владение или аренду.</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При этом размер земельного участка, предоставляемого гражданину Республики Беларусь для ведения КФХ на праве пожизненного наследуемого владения, не может превышать 100 гектаров сельскохозяйственных земель. Размер земельного участка, предоставляемого КФХ на праве постоянного пользования или аренды, определяется проектом отвода земельного участка.</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Для предоставления земельного участка заинтересованные лица обращаются в районный исполнительный комитет по месту нахождения испрашиваемого земельного участка с заявлением о предоставлении им такого участка.</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lastRenderedPageBreak/>
        <w:t>В заявлении указываются: цель, для которой испрашивается земельный участок; вещное право на испрашиваемый земельный участок; намечаемое место размещения земельного участка и его примерная площадь; источники возмещения убытков, если предполагается изъятие земельного участка у землепользователя; данные, содержащие идентификационные сведения о гражданине, если земельный участок испрашивается им.</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В случае, когда земельный участок испрашивается юридическим лицом, к заявлению прилагается (без нотариального засвидетельствования) копия документа, подтверждающего государственную регистрацию юридического лица.</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Также к заявлению прилагается программа ведения КФХ, а если таковое создается несколькими гражданами, то дополнительно прилагается протокол собрания его учредителей.</w:t>
      </w:r>
    </w:p>
    <w:p w:rsidR="00FD0640"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 xml:space="preserve">Разработка проекта отвода земельного участка для ведения КФХ осуществляется на безвозмездной основе структурным подразделением райисполкома по землеустройству, а граница земельного участка на местности устанавливается организацией по землеустройству за счет средств республиканского бюджета, предусмотренных на эти цели. </w:t>
      </w:r>
      <w:r w:rsidR="00FD0640" w:rsidRPr="00871304">
        <w:rPr>
          <w:color w:val="3D3D3D"/>
          <w:sz w:val="32"/>
          <w:szCs w:val="32"/>
        </w:rPr>
        <w:t xml:space="preserve"> Для оказания государственной поддержки крестьянскому (фермерскому) хозяйству (получатель бюджетных средств</w:t>
      </w:r>
      <w:proofErr w:type="gramStart"/>
      <w:r w:rsidR="00FD0640" w:rsidRPr="00871304">
        <w:rPr>
          <w:color w:val="3D3D3D"/>
          <w:sz w:val="32"/>
          <w:szCs w:val="32"/>
        </w:rPr>
        <w:t>)н</w:t>
      </w:r>
      <w:proofErr w:type="gramEnd"/>
      <w:r w:rsidR="00FD0640" w:rsidRPr="00871304">
        <w:rPr>
          <w:color w:val="3D3D3D"/>
          <w:sz w:val="32"/>
          <w:szCs w:val="32"/>
        </w:rPr>
        <w:t>еобходимо обратиться в течение 5 дней после заключения договора подряда на разработку проекта отвода земельного участка или договора подряда на установление границ земельного участка на местности в Минсельхозпрод (220030, г. Минск, ул. Кирова, 15), с заявлением в произвольной форме, к которому прилагаются следующие документы:</w:t>
      </w:r>
    </w:p>
    <w:p w:rsidR="00FD0640" w:rsidRPr="00871304" w:rsidRDefault="00FD0640" w:rsidP="00FD0640">
      <w:pPr>
        <w:pStyle w:val="a3"/>
        <w:numPr>
          <w:ilvl w:val="0"/>
          <w:numId w:val="1"/>
        </w:numPr>
        <w:shd w:val="clear" w:color="auto" w:fill="FFFFFF"/>
        <w:spacing w:before="0" w:beforeAutospacing="0" w:after="294" w:afterAutospacing="0"/>
        <w:contextualSpacing/>
        <w:jc w:val="both"/>
        <w:textAlignment w:val="baseline"/>
        <w:rPr>
          <w:color w:val="3D3D3D"/>
          <w:sz w:val="32"/>
          <w:szCs w:val="32"/>
        </w:rPr>
      </w:pPr>
      <w:proofErr w:type="gramStart"/>
      <w:r w:rsidRPr="00871304">
        <w:rPr>
          <w:color w:val="3D3D3D"/>
          <w:sz w:val="32"/>
          <w:szCs w:val="32"/>
        </w:rPr>
        <w:t>Договор подряда (копия договора подряда), заключенный с организацией по землеустройству на выполнение работ по установлению границ земельного участка на местности, включая все приложения к договору (сметы (исполнительные сметы), протоколы согласования цены, акты готовности землеустроительных работ (при наличии), дополнительные соглашения (при наличии)4</w:t>
      </w:r>
      <w:proofErr w:type="gramEnd"/>
    </w:p>
    <w:p w:rsidR="00FD0640" w:rsidRPr="00871304" w:rsidRDefault="00FD0640" w:rsidP="00FD0640">
      <w:pPr>
        <w:pStyle w:val="a3"/>
        <w:numPr>
          <w:ilvl w:val="0"/>
          <w:numId w:val="1"/>
        </w:numPr>
        <w:shd w:val="clear" w:color="auto" w:fill="FFFFFF"/>
        <w:spacing w:before="0" w:beforeAutospacing="0" w:after="294" w:afterAutospacing="0"/>
        <w:contextualSpacing/>
        <w:jc w:val="both"/>
        <w:textAlignment w:val="baseline"/>
        <w:rPr>
          <w:color w:val="3D3D3D"/>
          <w:sz w:val="32"/>
          <w:szCs w:val="32"/>
        </w:rPr>
      </w:pPr>
      <w:r w:rsidRPr="00871304">
        <w:rPr>
          <w:color w:val="3D3D3D"/>
          <w:sz w:val="32"/>
          <w:szCs w:val="32"/>
        </w:rPr>
        <w:t>Копия свидетельства о государственной регистрации;</w:t>
      </w:r>
    </w:p>
    <w:p w:rsidR="00FD0640" w:rsidRPr="00871304" w:rsidRDefault="00FD0640" w:rsidP="00FD0640">
      <w:pPr>
        <w:pStyle w:val="a3"/>
        <w:numPr>
          <w:ilvl w:val="0"/>
          <w:numId w:val="1"/>
        </w:numPr>
        <w:shd w:val="clear" w:color="auto" w:fill="FFFFFF"/>
        <w:spacing w:before="0" w:beforeAutospacing="0" w:after="294" w:afterAutospacing="0"/>
        <w:contextualSpacing/>
        <w:jc w:val="both"/>
        <w:textAlignment w:val="baseline"/>
        <w:rPr>
          <w:color w:val="3D3D3D"/>
          <w:sz w:val="32"/>
          <w:szCs w:val="32"/>
        </w:rPr>
      </w:pPr>
      <w:r w:rsidRPr="00871304">
        <w:rPr>
          <w:color w:val="3D3D3D"/>
          <w:sz w:val="32"/>
          <w:szCs w:val="32"/>
        </w:rPr>
        <w:t>Копия 1 и 2 страницы Устава;</w:t>
      </w:r>
    </w:p>
    <w:p w:rsidR="00FD0640" w:rsidRPr="00871304" w:rsidRDefault="00FD0640" w:rsidP="00FD0640">
      <w:pPr>
        <w:pStyle w:val="a3"/>
        <w:numPr>
          <w:ilvl w:val="0"/>
          <w:numId w:val="1"/>
        </w:numPr>
        <w:shd w:val="clear" w:color="auto" w:fill="FFFFFF"/>
        <w:spacing w:before="0" w:beforeAutospacing="0" w:after="294" w:afterAutospacing="0"/>
        <w:contextualSpacing/>
        <w:jc w:val="both"/>
        <w:textAlignment w:val="baseline"/>
        <w:rPr>
          <w:color w:val="3D3D3D"/>
          <w:sz w:val="32"/>
          <w:szCs w:val="32"/>
        </w:rPr>
      </w:pPr>
      <w:r w:rsidRPr="00871304">
        <w:rPr>
          <w:color w:val="3D3D3D"/>
          <w:sz w:val="32"/>
          <w:szCs w:val="32"/>
        </w:rPr>
        <w:t xml:space="preserve">Информационное письмо с указание сведений, необходимых для присвоения учетного номера казначейства (в случае его отсутствия) (далее </w:t>
      </w:r>
      <w:proofErr w:type="gramStart"/>
      <w:r w:rsidRPr="00871304">
        <w:rPr>
          <w:color w:val="3D3D3D"/>
          <w:sz w:val="32"/>
          <w:szCs w:val="32"/>
        </w:rPr>
        <w:t>–У</w:t>
      </w:r>
      <w:proofErr w:type="gramEnd"/>
      <w:r w:rsidRPr="00871304">
        <w:rPr>
          <w:color w:val="3D3D3D"/>
          <w:sz w:val="32"/>
          <w:szCs w:val="32"/>
        </w:rPr>
        <w:t xml:space="preserve">НК); полное и сокращенное наименование </w:t>
      </w:r>
      <w:r w:rsidRPr="00871304">
        <w:rPr>
          <w:color w:val="3D3D3D"/>
          <w:sz w:val="32"/>
          <w:szCs w:val="32"/>
        </w:rPr>
        <w:lastRenderedPageBreak/>
        <w:t>КФХ, юридический адрес, учетный номер плательщика, ФИО главы хозяйства, главного бухгалтера (при наличии) и контактные данные.</w:t>
      </w:r>
      <w:r w:rsidR="00871DC1" w:rsidRPr="00871304">
        <w:rPr>
          <w:color w:val="3D3D3D"/>
          <w:sz w:val="32"/>
          <w:szCs w:val="32"/>
        </w:rPr>
        <w:t xml:space="preserve"> </w:t>
      </w:r>
    </w:p>
    <w:p w:rsidR="00871DC1" w:rsidRPr="00871304" w:rsidRDefault="00871DC1" w:rsidP="00871DC1">
      <w:pPr>
        <w:pStyle w:val="a3"/>
        <w:shd w:val="clear" w:color="auto" w:fill="FFFFFF"/>
        <w:spacing w:before="0" w:beforeAutospacing="0" w:after="294" w:afterAutospacing="0"/>
        <w:contextualSpacing/>
        <w:jc w:val="both"/>
        <w:textAlignment w:val="baseline"/>
        <w:rPr>
          <w:color w:val="3D3D3D"/>
          <w:sz w:val="32"/>
          <w:szCs w:val="32"/>
        </w:rPr>
      </w:pPr>
      <w:r w:rsidRPr="00871304">
        <w:rPr>
          <w:color w:val="3D3D3D"/>
          <w:sz w:val="32"/>
          <w:szCs w:val="32"/>
        </w:rPr>
        <w:t>После открытия бюджетных ассигнований крестьянское (фермерское</w:t>
      </w:r>
      <w:proofErr w:type="gramStart"/>
      <w:r w:rsidRPr="00871304">
        <w:rPr>
          <w:color w:val="3D3D3D"/>
          <w:sz w:val="32"/>
          <w:szCs w:val="32"/>
        </w:rPr>
        <w:t>0</w:t>
      </w:r>
      <w:proofErr w:type="gramEnd"/>
      <w:r w:rsidRPr="00871304">
        <w:rPr>
          <w:color w:val="3D3D3D"/>
          <w:sz w:val="32"/>
          <w:szCs w:val="32"/>
        </w:rPr>
        <w:t xml:space="preserve"> хозяйство (получатель бюджетных средств) с вышеперечисленным пакетом документов 9оригиналов) обращается в территориальное казначейство для регистрации в соответствии с Инструкцией о порядке организации и осуществления исполнения республиканского бюджета, местных бюджетов, бюджетов государственных внебюджетных фондов по расходам, утвержденной постановлением Министерства финансов Республики Беларусь от 27 июля 2011 г. № 63 (далее – Инструкция).</w:t>
      </w:r>
    </w:p>
    <w:p w:rsidR="00871DC1" w:rsidRPr="00871304" w:rsidRDefault="00871DC1" w:rsidP="00871DC1">
      <w:pPr>
        <w:pStyle w:val="a3"/>
        <w:shd w:val="clear" w:color="auto" w:fill="FFFFFF"/>
        <w:spacing w:before="0" w:beforeAutospacing="0" w:after="294" w:afterAutospacing="0"/>
        <w:contextualSpacing/>
        <w:jc w:val="both"/>
        <w:textAlignment w:val="baseline"/>
        <w:rPr>
          <w:color w:val="3D3D3D"/>
          <w:sz w:val="32"/>
          <w:szCs w:val="32"/>
        </w:rPr>
      </w:pPr>
      <w:r w:rsidRPr="00871304">
        <w:rPr>
          <w:color w:val="3D3D3D"/>
          <w:sz w:val="32"/>
          <w:szCs w:val="32"/>
        </w:rPr>
        <w:t xml:space="preserve">После регистрации крестьянское (фермерское) хозяйство (получатель бюджетных средств) представляет в территориальное казначейство заявку для перечисления средств республиканского бюджета. </w:t>
      </w:r>
      <w:proofErr w:type="gramStart"/>
      <w:r w:rsidRPr="00871304">
        <w:rPr>
          <w:color w:val="3D3D3D"/>
          <w:sz w:val="32"/>
          <w:szCs w:val="32"/>
        </w:rPr>
        <w:t>Оформленную</w:t>
      </w:r>
      <w:proofErr w:type="gramEnd"/>
      <w:r w:rsidRPr="00871304">
        <w:rPr>
          <w:color w:val="3D3D3D"/>
          <w:sz w:val="32"/>
          <w:szCs w:val="32"/>
        </w:rPr>
        <w:t xml:space="preserve"> с учетом требований инструкции.</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После выполнения указанных работ местным исполнительным комитетом абсолютно бесплатно принимается решение об изъятии и предоставлении земельного участка для ведения КФХ.</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 xml:space="preserve">Лицо, заинтересованное в предоставлении земельного участка, с копией указанного решения обращается за государственной регистрацией создания земельного участка и возникновения прав, ограничений (обременений) прав на него, </w:t>
      </w:r>
      <w:proofErr w:type="gramStart"/>
      <w:r w:rsidRPr="00871304">
        <w:rPr>
          <w:color w:val="3D3D3D"/>
          <w:sz w:val="32"/>
          <w:szCs w:val="32"/>
        </w:rPr>
        <w:t>которая</w:t>
      </w:r>
      <w:proofErr w:type="gramEnd"/>
      <w:r w:rsidRPr="00871304">
        <w:rPr>
          <w:color w:val="3D3D3D"/>
          <w:sz w:val="32"/>
          <w:szCs w:val="32"/>
        </w:rPr>
        <w:t xml:space="preserve"> осуществляется также за счет средств республиканского бюджета.</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Со дня государственной регистрации создания земельного участка и возникновения права на него юридическое лицо в течение шести месяцев, а гражданин – в течение одного года обязаны приступить к занятию данного участка в соответствии с целью и условиями его предоставления.</w:t>
      </w:r>
    </w:p>
    <w:p w:rsidR="007316DB" w:rsidRPr="00871304" w:rsidRDefault="007316DB" w:rsidP="007316DB">
      <w:pPr>
        <w:pStyle w:val="a3"/>
        <w:shd w:val="clear" w:color="auto" w:fill="FFFFFF"/>
        <w:spacing w:before="0" w:beforeAutospacing="0" w:after="294" w:afterAutospacing="0"/>
        <w:ind w:firstLine="709"/>
        <w:contextualSpacing/>
        <w:jc w:val="both"/>
        <w:textAlignment w:val="baseline"/>
        <w:rPr>
          <w:color w:val="3D3D3D"/>
          <w:sz w:val="32"/>
          <w:szCs w:val="32"/>
        </w:rPr>
      </w:pPr>
      <w:r w:rsidRPr="00871304">
        <w:rPr>
          <w:color w:val="3D3D3D"/>
          <w:sz w:val="32"/>
          <w:szCs w:val="32"/>
        </w:rPr>
        <w:t>Вместе с тем следует отметить, что изъятие у сельскохозяйственного предприятия части сельскохозяйственных земель может принести убытки, подлежащие возмещению, размер которых определяется на основании сведений бухгалтерского учета организации.</w:t>
      </w:r>
    </w:p>
    <w:p w:rsidR="00F40C0C" w:rsidRPr="007316DB" w:rsidRDefault="00F40C0C" w:rsidP="007316DB">
      <w:pPr>
        <w:ind w:firstLine="709"/>
        <w:contextualSpacing/>
        <w:jc w:val="both"/>
        <w:rPr>
          <w:rFonts w:ascii="Times New Roman" w:hAnsi="Times New Roman" w:cs="Times New Roman"/>
        </w:rPr>
      </w:pPr>
    </w:p>
    <w:sectPr w:rsidR="00F40C0C" w:rsidRPr="007316DB" w:rsidSect="00D1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1C72"/>
    <w:multiLevelType w:val="hybridMultilevel"/>
    <w:tmpl w:val="FF865816"/>
    <w:lvl w:ilvl="0" w:tplc="A26808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316DB"/>
    <w:rsid w:val="00142F65"/>
    <w:rsid w:val="0019233C"/>
    <w:rsid w:val="007316DB"/>
    <w:rsid w:val="00871304"/>
    <w:rsid w:val="00871DC1"/>
    <w:rsid w:val="00D15B6A"/>
    <w:rsid w:val="00F40C0C"/>
    <w:rsid w:val="00FC6BB2"/>
    <w:rsid w:val="00FD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6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233C"/>
    <w:rPr>
      <w:b/>
      <w:bCs/>
    </w:rPr>
  </w:style>
</w:styles>
</file>

<file path=word/webSettings.xml><?xml version="1.0" encoding="utf-8"?>
<w:webSettings xmlns:r="http://schemas.openxmlformats.org/officeDocument/2006/relationships" xmlns:w="http://schemas.openxmlformats.org/wordprocessingml/2006/main">
  <w:divs>
    <w:div w:id="10086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Кривко</dc:creator>
  <cp:lastModifiedBy>Кривко</cp:lastModifiedBy>
  <cp:revision>3</cp:revision>
  <cp:lastPrinted>2022-05-31T06:12:00Z</cp:lastPrinted>
  <dcterms:created xsi:type="dcterms:W3CDTF">2022-05-31T07:02:00Z</dcterms:created>
  <dcterms:modified xsi:type="dcterms:W3CDTF">2022-05-31T07:04:00Z</dcterms:modified>
</cp:coreProperties>
</file>